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00" w:lineRule="exact"/>
        <w:textAlignment w:val="baseline"/>
        <w:rPr>
          <w:rFonts w:eastAsia="方正书宋"/>
          <w:b/>
          <w:color w:val="000000"/>
          <w:sz w:val="24"/>
          <w:szCs w:val="24"/>
        </w:rPr>
      </w:pPr>
      <w:r>
        <w:rPr>
          <w:rFonts w:eastAsia="方正书宋"/>
          <w:b/>
          <w:color w:val="000000"/>
          <w:sz w:val="24"/>
          <w:szCs w:val="24"/>
        </w:rPr>
        <w:t>1.1   工程概况</w:t>
      </w:r>
    </w:p>
    <w:p>
      <w:pPr>
        <w:spacing w:line="500" w:lineRule="exact"/>
        <w:textAlignment w:val="baseline"/>
        <w:rPr>
          <w:rFonts w:eastAsia="方正书宋"/>
          <w:color w:val="000000"/>
          <w:sz w:val="24"/>
          <w:szCs w:val="24"/>
        </w:rPr>
      </w:pPr>
    </w:p>
    <w:p>
      <w:pPr>
        <w:spacing w:line="500" w:lineRule="exact"/>
        <w:ind w:left="0" w:firstLineChars="200" w:firstLine="480"/>
        <w:textAlignment w:val="baseline"/>
        <w:rPr>
          <w:rFonts w:eastAsia="方正书宋"/>
          <w:b/>
          <w:color w:val="000000"/>
          <w:sz w:val="24"/>
          <w:szCs w:val="24"/>
        </w:rPr>
      </w:pPr>
      <w:r>
        <w:rPr>
          <w:rFonts w:eastAsia="方正书宋"/>
          <w:color w:val="000000"/>
          <w:sz w:val="24"/>
          <w:szCs w:val="24"/>
        </w:rPr>
        <w:t>余江县位于江西省东北部，信江中下游，东与鹰潭、贵溪接壤，南和金溪相通，西界东乡，北邻万年、余干。为补充白塔西渠水源，在余江县张公桥农场，青田港出口与白塔河汇合处兴建张公桥水闸。该闸距县城1km，于1978年8月建成，1981年和1985年进行了两次维修及修建了消力池</w:t>
      </w:r>
    </w:p>
    <w:p>
      <w:pPr>
        <w:spacing w:line="500" w:lineRule="exact"/>
        <w:ind w:left="0" w:firstLineChars="225" w:firstLine="540"/>
        <w:textAlignment w:val="baseline"/>
        <w:rPr>
          <w:rFonts w:eastAsia="方正书宋"/>
          <w:color w:val="000000"/>
          <w:sz w:val="24"/>
          <w:szCs w:val="24"/>
        </w:rPr>
      </w:pPr>
      <w:r>
        <w:rPr>
          <w:rFonts w:eastAsia="方正书宋"/>
          <w:color w:val="000000"/>
          <w:sz w:val="24"/>
          <w:szCs w:val="24"/>
        </w:rPr>
        <w:t>张公桥水闸是信江二级支流，白塔河一级支流——青田港的一座大型水闸工程，闸址以上集水面积627.2km</w:t>
      </w:r>
      <w:r>
        <w:rPr>
          <w:rFonts w:eastAsia="方正书宋"/>
          <w:color w:val="000000"/>
          <w:sz w:val="24"/>
          <w:szCs w:val="24"/>
          <w:vertAlign w:val="superscript"/>
        </w:rPr>
        <w:t>2</w:t>
      </w:r>
      <w:r>
        <w:rPr>
          <w:rFonts w:eastAsia="方正书宋"/>
          <w:color w:val="000000"/>
          <w:sz w:val="24"/>
          <w:szCs w:val="24"/>
        </w:rPr>
        <w:t>。工程主要功能是抬高枯水期水位，满足余江县县城居民生活用水和农田的灌溉的取水要求。</w:t>
      </w:r>
    </w:p>
    <w:p>
      <w:pPr>
        <w:spacing w:line="500" w:lineRule="exact"/>
        <w:ind w:left="0" w:firstLineChars="200" w:firstLine="496"/>
        <w:textAlignment w:val="baseline"/>
        <w:rPr>
          <w:rFonts w:eastAsia="方正书宋"/>
          <w:color w:val="000000"/>
          <w:spacing w:val="4"/>
          <w:sz w:val="24"/>
          <w:szCs w:val="24"/>
        </w:rPr>
      </w:pPr>
      <w:r>
        <w:rPr>
          <w:rFonts w:eastAsia="方正书宋"/>
          <w:color w:val="000000"/>
          <w:spacing w:val="4"/>
          <w:sz w:val="24"/>
          <w:szCs w:val="24"/>
        </w:rPr>
        <w:t>根据闸址控制断面以上流域中心位置查《江西省暴雨洪水查算手册》中的相应附图，得其闸址断面控制流域的各时段暴雨均值和相应的变差系数Cv值见表2.4.2，取Cs=3.5Cv推求其流域设计暴雨，并依据闸址上游流域特征参数（流域面积F=627.2km</w:t>
      </w:r>
      <w:r>
        <w:rPr>
          <w:rFonts w:eastAsia="方正书宋"/>
          <w:color w:val="000000"/>
          <w:spacing w:val="4"/>
          <w:sz w:val="24"/>
          <w:szCs w:val="24"/>
          <w:vertAlign w:val="superscript"/>
        </w:rPr>
        <w:t>2</w:t>
      </w:r>
      <w:r>
        <w:rPr>
          <w:rFonts w:eastAsia="方正书宋"/>
          <w:color w:val="000000"/>
          <w:spacing w:val="4"/>
          <w:sz w:val="24"/>
          <w:szCs w:val="24"/>
        </w:rPr>
        <w:t>，主河道长度L=71.8km，主河道平均坡降J=1.73‰），按《手册》中提供设计暴雨时程分配采用瞬时单位线法计算闸址处设计洪水成果见表2.4.1。</w:t>
      </w:r>
    </w:p>
    <w:p>
      <w:pPr>
        <w:spacing w:line="500" w:lineRule="exact"/>
        <w:ind w:left="0" w:firstLineChars="200" w:firstLine="480"/>
        <w:textAlignment w:val="baseline"/>
        <w:rPr>
          <w:rFonts w:eastAsia="方正书宋"/>
          <w:color w:val="000000"/>
          <w:sz w:val="24"/>
          <w:szCs w:val="24"/>
        </w:rPr>
      </w:pPr>
      <w:r>
        <w:rPr>
          <w:rFonts w:eastAsia="方正书宋"/>
          <w:color w:val="000000"/>
          <w:sz w:val="24"/>
          <w:szCs w:val="24"/>
        </w:rPr>
        <w:t>经计算，张公桥水闸100年一遇设计洪峰流量27</w:t>
      </w:r>
      <w:r>
        <w:rPr>
          <w:rFonts w:eastAsia="方正书宋" w:hint="eastAsia"/>
          <w:color w:val="000000"/>
          <w:sz w:val="24"/>
          <w:szCs w:val="24"/>
        </w:rPr>
        <w:t>5</w:t>
      </w:r>
      <w:r>
        <w:rPr>
          <w:rFonts w:eastAsia="方正书宋"/>
          <w:color w:val="000000"/>
          <w:sz w:val="24"/>
          <w:szCs w:val="24"/>
        </w:rPr>
        <w:t>0m</w:t>
      </w:r>
      <w:r>
        <w:rPr>
          <w:rFonts w:eastAsia="方正书宋"/>
          <w:color w:val="000000"/>
          <w:sz w:val="24"/>
          <w:szCs w:val="24"/>
          <w:vertAlign w:val="superscript"/>
        </w:rPr>
        <w:t xml:space="preserve"> 3</w:t>
      </w:r>
      <w:r>
        <w:rPr>
          <w:rFonts w:eastAsia="方正书宋"/>
          <w:color w:val="000000"/>
          <w:sz w:val="24"/>
          <w:szCs w:val="24"/>
        </w:rPr>
        <w:t>/s，30年一遇设计洪峰流量2150 m</w:t>
      </w:r>
      <w:r>
        <w:rPr>
          <w:rFonts w:eastAsia="方正书宋"/>
          <w:color w:val="000000"/>
          <w:sz w:val="24"/>
          <w:szCs w:val="24"/>
          <w:vertAlign w:val="superscript"/>
        </w:rPr>
        <w:t xml:space="preserve"> 3</w:t>
      </w:r>
      <w:r>
        <w:rPr>
          <w:rFonts w:eastAsia="方正书宋"/>
          <w:color w:val="000000"/>
          <w:sz w:val="24"/>
          <w:szCs w:val="24"/>
        </w:rPr>
        <w:t>/s，10年一遇设计洪峰流量1480 m</w:t>
      </w:r>
      <w:r>
        <w:rPr>
          <w:rFonts w:eastAsia="方正书宋"/>
          <w:color w:val="000000"/>
          <w:sz w:val="24"/>
          <w:szCs w:val="24"/>
          <w:vertAlign w:val="superscript"/>
        </w:rPr>
        <w:t xml:space="preserve"> 3</w:t>
      </w:r>
      <w:r>
        <w:rPr>
          <w:rFonts w:eastAsia="方正书宋"/>
          <w:color w:val="000000"/>
          <w:sz w:val="24"/>
          <w:szCs w:val="24"/>
        </w:rPr>
        <w:t>/s。</w:t>
      </w:r>
    </w:p>
    <w:p>
      <w:pPr>
        <w:spacing w:line="500" w:lineRule="exact"/>
        <w:ind w:firstLineChars="200" w:firstLine="480"/>
        <w:textAlignment w:val="baseline"/>
        <w:rPr>
          <w:rFonts w:eastAsia="方正书宋"/>
          <w:color w:val="000000"/>
          <w:sz w:val="24"/>
          <w:szCs w:val="24"/>
        </w:rPr>
      </w:pPr>
      <w:r>
        <w:rPr>
          <w:rFonts w:eastAsia="方正书宋"/>
          <w:color w:val="000000"/>
          <w:sz w:val="24"/>
          <w:szCs w:val="24"/>
        </w:rPr>
        <w:t>根据施工组织设计要求，需进行闸址处10年一遇最枯4个月、最枯5个月最枯6个月，和9月份、10月份月平均流量进行分析。经统计分析，最枯6个月为9月～次年2月，最枯5个月为9月～次年1月，最枯4个月为10月～次年1月。张公桥水闸施工期最枯4个月(10月～次年1月)10年一遇设计洪峰流量为185m</w:t>
      </w:r>
      <w:r>
        <w:rPr>
          <w:rFonts w:eastAsia="方正书宋"/>
          <w:color w:val="000000"/>
          <w:sz w:val="24"/>
          <w:szCs w:val="24"/>
          <w:vertAlign w:val="superscript"/>
        </w:rPr>
        <w:t>3</w:t>
      </w:r>
      <w:r>
        <w:rPr>
          <w:rFonts w:eastAsia="方正书宋"/>
          <w:color w:val="000000"/>
          <w:sz w:val="24"/>
          <w:szCs w:val="24"/>
        </w:rPr>
        <w:t>/s；施工期最枯5个月(9月～次年1月)10年一遇设计洪峰流量为265m</w:t>
      </w:r>
      <w:r>
        <w:rPr>
          <w:rFonts w:eastAsia="方正书宋"/>
          <w:color w:val="000000"/>
          <w:sz w:val="24"/>
          <w:szCs w:val="24"/>
          <w:vertAlign w:val="superscript"/>
        </w:rPr>
        <w:t>3</w:t>
      </w:r>
      <w:r>
        <w:rPr>
          <w:rFonts w:eastAsia="方正书宋"/>
          <w:color w:val="000000"/>
          <w:sz w:val="24"/>
          <w:szCs w:val="24"/>
        </w:rPr>
        <w:t>/s；施工期最枯6个月(9月～次年2月)10年一遇设计洪峰流量为291m</w:t>
      </w:r>
      <w:r>
        <w:rPr>
          <w:rFonts w:eastAsia="方正书宋"/>
          <w:color w:val="000000"/>
          <w:sz w:val="24"/>
          <w:szCs w:val="24"/>
          <w:vertAlign w:val="superscript"/>
        </w:rPr>
        <w:t>3</w:t>
      </w:r>
      <w:r>
        <w:rPr>
          <w:rFonts w:eastAsia="方正书宋"/>
          <w:color w:val="000000"/>
          <w:sz w:val="24"/>
          <w:szCs w:val="24"/>
        </w:rPr>
        <w:t>/s； 9月份、10月份10年一遇月平均流量分别为29.2m</w:t>
      </w:r>
      <w:r>
        <w:rPr>
          <w:rFonts w:eastAsia="方正书宋"/>
          <w:color w:val="000000"/>
          <w:sz w:val="24"/>
          <w:szCs w:val="24"/>
          <w:vertAlign w:val="superscript"/>
        </w:rPr>
        <w:t>3</w:t>
      </w:r>
      <w:r>
        <w:rPr>
          <w:rFonts w:eastAsia="方正书宋"/>
          <w:color w:val="000000"/>
          <w:sz w:val="24"/>
          <w:szCs w:val="24"/>
        </w:rPr>
        <w:t>/s、17.3 m</w:t>
      </w:r>
      <w:r>
        <w:rPr>
          <w:rFonts w:eastAsia="方正书宋"/>
          <w:color w:val="000000"/>
          <w:sz w:val="24"/>
          <w:szCs w:val="24"/>
          <w:vertAlign w:val="superscript"/>
        </w:rPr>
        <w:t>3</w:t>
      </w:r>
      <w:r>
        <w:rPr>
          <w:rFonts w:eastAsia="方正书宋"/>
          <w:color w:val="000000"/>
          <w:sz w:val="24"/>
          <w:szCs w:val="24"/>
        </w:rPr>
        <w:t>/s。</w:t>
      </w:r>
    </w:p>
    <w:p>
      <w:pPr>
        <w:pStyle w:val="15"/>
        <w:spacing w:line="500" w:lineRule="exact"/>
        <w:textAlignment w:val="baseline"/>
        <w:rPr>
          <w:rFonts w:eastAsia="方正书宋"/>
          <w:color w:val="000000"/>
          <w:kern w:val="0"/>
          <w:szCs w:val="24"/>
          <w:lang w:val="en-US"/>
        </w:rPr>
      </w:pPr>
      <w:r>
        <w:rPr>
          <w:rFonts w:eastAsia="方正书宋"/>
          <w:color w:val="000000"/>
          <w:kern w:val="0"/>
          <w:szCs w:val="24"/>
          <w:lang w:val="en-US"/>
        </w:rPr>
        <w:t>张公桥水闸位于白塔河与青港河交汇处，场地属于白塔河流阶地地貌，地势相对平坦，闸址附近地面标高一般在34.03～57.93m，右岸为河流阶地Ⅰ级阶地，左岸为丘陵小山，地势相差较大。</w:t>
      </w:r>
    </w:p>
    <w:p>
      <w:pPr>
        <w:spacing w:line="500" w:lineRule="exact"/>
        <w:ind w:firstLineChars="200" w:firstLine="480"/>
        <w:textAlignment w:val="baseline"/>
        <w:rPr>
          <w:rFonts w:eastAsia="方正书宋"/>
          <w:color w:val="000000"/>
          <w:sz w:val="24"/>
          <w:szCs w:val="24"/>
        </w:rPr>
      </w:pPr>
      <w:r>
        <w:rPr>
          <w:rFonts w:eastAsia="方正书宋"/>
          <w:color w:val="000000"/>
          <w:sz w:val="24"/>
          <w:szCs w:val="24"/>
        </w:rPr>
        <w:t>场地及临近地区无活动断裂，无岩溶、崩塌、泥石流、采空区等不良地质作用。</w:t>
      </w:r>
    </w:p>
    <w:p>
      <w:pPr>
        <w:spacing w:line="500" w:lineRule="exact"/>
        <w:ind w:firstLineChars="200" w:firstLine="480"/>
        <w:textAlignment w:val="baseline"/>
        <w:rPr>
          <w:rFonts w:eastAsia="方正书宋"/>
          <w:color w:val="000000"/>
          <w:sz w:val="24"/>
          <w:szCs w:val="24"/>
        </w:rPr>
      </w:pPr>
      <w:r>
        <w:rPr>
          <w:rFonts w:eastAsia="方正书宋"/>
          <w:color w:val="000000"/>
          <w:sz w:val="24"/>
          <w:szCs w:val="24"/>
        </w:rPr>
        <w:t>本场地地处华南褶皱系、赣中南褶皱、赣西南拗陷、抚州凹陷构造单元中。据《中国地震动参数区划图》（GB18306-2001）的界定，工程区地震动峰值加速度小于0.05g，地震动反应谱特征周期为0.35s，相应地震基本烈度小于Ⅵ度。</w:t>
      </w:r>
    </w:p>
    <w:p>
      <w:pPr>
        <w:spacing w:line="500" w:lineRule="exact"/>
        <w:ind w:firstLineChars="200" w:firstLine="480"/>
        <w:textAlignment w:val="baseline"/>
        <w:rPr>
          <w:rFonts w:eastAsia="方正书宋"/>
          <w:color w:val="000000"/>
          <w:sz w:val="24"/>
          <w:szCs w:val="24"/>
        </w:rPr>
      </w:pPr>
      <w:r>
        <w:rPr>
          <w:rFonts w:eastAsia="方正书宋"/>
          <w:color w:val="000000"/>
          <w:sz w:val="24"/>
          <w:szCs w:val="24"/>
        </w:rPr>
        <w:t>工程区地表水系发育，同时，区内第四系地层分布广泛，地下水丰富，类型主要为孔隙性潜水。地表水对混凝土具分解类溶出型中等腐蚀，地下水对混凝土具分解类一般酸性型弱等腐蚀、碳酸性型中等腐蚀及溶出型弱腐蚀，对钢结构均具有弱腐蚀性。</w:t>
      </w:r>
    </w:p>
    <w:p>
      <w:pPr>
        <w:spacing w:line="500" w:lineRule="exact"/>
        <w:ind w:firstLineChars="200" w:firstLine="480"/>
        <w:textAlignment w:val="baseline"/>
        <w:rPr>
          <w:rFonts w:eastAsia="方正书宋"/>
          <w:color w:val="000000"/>
          <w:sz w:val="24"/>
          <w:szCs w:val="24"/>
        </w:rPr>
      </w:pPr>
      <w:r>
        <w:rPr>
          <w:rFonts w:eastAsia="方正书宋"/>
          <w:color w:val="000000"/>
          <w:sz w:val="24"/>
          <w:szCs w:val="24"/>
        </w:rPr>
        <w:t>工程区各建筑物基础均位于含砾砂岩上，其中翻板闸、泄洪闸闸址和排涝涵管涵址工程地质条件良好，承载力基本能满足要求，无沉降变形和渗透问题；</w:t>
      </w:r>
    </w:p>
    <w:p>
      <w:pPr>
        <w:spacing w:line="500" w:lineRule="exact"/>
        <w:ind w:firstLineChars="200" w:firstLine="480"/>
        <w:textAlignment w:val="baseline"/>
        <w:rPr>
          <w:rFonts w:eastAsia="方正书宋"/>
          <w:color w:val="000000"/>
          <w:sz w:val="24"/>
          <w:szCs w:val="24"/>
        </w:rPr>
      </w:pPr>
      <w:r>
        <w:rPr>
          <w:rFonts w:eastAsia="方正书宋"/>
          <w:color w:val="000000"/>
          <w:sz w:val="24"/>
          <w:szCs w:val="24"/>
        </w:rPr>
        <w:t>水闸混凝土表层存在老化、剥蚀、破损严重、碳化、强度低，局部已开裂、露石、露筋等。</w:t>
      </w:r>
    </w:p>
    <w:p>
      <w:pPr>
        <w:spacing w:line="500" w:lineRule="exact"/>
        <w:ind w:firstLineChars="200" w:firstLine="480"/>
        <w:textAlignment w:val="baseline"/>
        <w:rPr>
          <w:rFonts w:eastAsia="方正书宋"/>
          <w:color w:val="000000"/>
          <w:sz w:val="24"/>
          <w:szCs w:val="24"/>
        </w:rPr>
      </w:pPr>
      <w:r>
        <w:rPr>
          <w:rFonts w:eastAsia="方正书宋"/>
          <w:color w:val="000000"/>
          <w:sz w:val="24"/>
          <w:szCs w:val="24"/>
        </w:rPr>
        <w:t>张公桥水闸工程至今已运行了几十年，取得了良好的经济效益和社会效益。为了全面评价该工程的安全状况，江西省水利科学研究院于2008年11月编制完成了安全评价报告，对水闸进行了安全综合评价。根据复核计算结果和工程实际运行状况，工程仍存在严重的各种隐患，影响闸坝稳定安全及工程安全运行。按照《水闸安全鉴定规定》(SL214-98)水闸病险级别的判定标准，张公桥水闸属四类闸。因此，对张公桥水闸工程进行除险加固非常必要。</w:t>
      </w:r>
    </w:p>
    <w:p>
      <w:pPr>
        <w:spacing w:line="500" w:lineRule="exact"/>
        <w:ind w:firstLineChars="200" w:firstLine="480"/>
        <w:textAlignment w:val="baseline"/>
        <w:rPr>
          <w:rFonts w:eastAsia="方正书宋"/>
          <w:color w:val="000000"/>
          <w:sz w:val="24"/>
          <w:szCs w:val="24"/>
        </w:rPr>
      </w:pPr>
      <w:r>
        <w:rPr>
          <w:rFonts w:eastAsia="方正书宋"/>
          <w:color w:val="000000"/>
          <w:sz w:val="24"/>
          <w:szCs w:val="24"/>
        </w:rPr>
        <w:t>此次除险加固设计的主要内容为：拆除砼翻板闸</w:t>
      </w:r>
      <w:r>
        <w:rPr>
          <w:rFonts w:eastAsia="方正书宋" w:hint="eastAsia"/>
          <w:color w:val="000000"/>
          <w:sz w:val="24"/>
          <w:szCs w:val="24"/>
        </w:rPr>
        <w:t>、</w:t>
      </w:r>
      <w:r>
        <w:rPr>
          <w:rFonts w:eastAsia="方正书宋"/>
          <w:color w:val="000000"/>
          <w:sz w:val="24"/>
          <w:szCs w:val="24"/>
        </w:rPr>
        <w:t>泄洪闸，原址重建</w:t>
      </w:r>
      <w:r>
        <w:rPr>
          <w:rFonts w:eastAsia="方正书宋" w:hint="eastAsia"/>
          <w:color w:val="000000"/>
          <w:sz w:val="24"/>
          <w:szCs w:val="24"/>
        </w:rPr>
        <w:t>9孔泄洪</w:t>
      </w:r>
      <w:r>
        <w:rPr>
          <w:rFonts w:eastAsia="方正书宋"/>
          <w:color w:val="000000"/>
          <w:sz w:val="24"/>
          <w:szCs w:val="24"/>
        </w:rPr>
        <w:t>闸；原址原规模拆除重建进水闸；原址原规模拆除重建灌溉进水闸；重建消力池及海漫；</w:t>
      </w:r>
      <w:r>
        <w:rPr>
          <w:rFonts w:eastAsia="方正书宋" w:hint="eastAsia"/>
          <w:color w:val="000000"/>
          <w:sz w:val="24"/>
          <w:szCs w:val="24"/>
        </w:rPr>
        <w:t>加高加固</w:t>
      </w:r>
      <w:r>
        <w:rPr>
          <w:rFonts w:eastAsia="方正书宋"/>
          <w:color w:val="000000"/>
          <w:sz w:val="24"/>
          <w:szCs w:val="24"/>
        </w:rPr>
        <w:t>右岸</w:t>
      </w:r>
      <w:r>
        <w:rPr>
          <w:rFonts w:eastAsia="方正书宋" w:hint="eastAsia"/>
          <w:color w:val="000000"/>
          <w:sz w:val="24"/>
          <w:szCs w:val="24"/>
        </w:rPr>
        <w:t>连接</w:t>
      </w:r>
      <w:r>
        <w:rPr>
          <w:rFonts w:eastAsia="方正书宋"/>
          <w:color w:val="000000"/>
          <w:sz w:val="24"/>
          <w:szCs w:val="24"/>
        </w:rPr>
        <w:t>土堤</w:t>
      </w:r>
      <w:r>
        <w:rPr>
          <w:rFonts w:eastAsia="方正书宋" w:hint="eastAsia"/>
          <w:color w:val="000000"/>
          <w:sz w:val="24"/>
          <w:szCs w:val="24"/>
        </w:rPr>
        <w:t>；恢复右岸水毁农</w:t>
      </w:r>
      <w:r>
        <w:rPr>
          <w:rFonts w:eastAsia="方正书宋"/>
          <w:color w:val="000000"/>
          <w:sz w:val="24"/>
          <w:szCs w:val="24"/>
        </w:rPr>
        <w:t>田。</w:t>
      </w:r>
    </w:p>
    <w:p>
      <w:pPr>
        <w:spacing w:line="500" w:lineRule="exact"/>
        <w:textAlignment w:val="baseline"/>
        <w:rPr>
          <w:rFonts w:eastAsia="方正书宋"/>
          <w:color w:val="000000"/>
          <w:sz w:val="24"/>
          <w:szCs w:val="24"/>
        </w:rPr>
      </w:pPr>
      <w:r>
        <w:rPr>
          <w:rFonts w:eastAsia="方正书宋"/>
          <w:color w:val="000000"/>
          <w:sz w:val="24"/>
          <w:szCs w:val="24"/>
        </w:rPr>
        <w:t xml:space="preserve">    张公桥水闸工程的砼翻板闸采用水力自控闸门控制，闸顶现状高程为38.05m。本次加固设计正常蓄水位为38.05m。</w:t>
      </w:r>
    </w:p>
    <w:p>
      <w:pPr>
        <w:spacing w:line="500" w:lineRule="exact"/>
        <w:textAlignment w:val="baseline"/>
        <w:rPr>
          <w:rFonts w:eastAsia="方正书宋"/>
          <w:color w:val="000000"/>
          <w:sz w:val="24"/>
          <w:szCs w:val="24"/>
        </w:rPr>
      </w:pPr>
      <w:r>
        <w:rPr>
          <w:rFonts w:eastAsia="方正书宋"/>
          <w:color w:val="000000"/>
          <w:sz w:val="24"/>
          <w:szCs w:val="24"/>
        </w:rPr>
        <w:t xml:space="preserve">    张公桥水闸闸上游设计洪水位和校核洪水位根据张公桥水闸工程泄流曲线推求。本工程除险加固设计洪水标准为重现期30年，设计洪峰流量2150m</w:t>
      </w:r>
      <w:r>
        <w:rPr>
          <w:rFonts w:eastAsia="方正书宋"/>
          <w:color w:val="000000"/>
          <w:sz w:val="24"/>
          <w:szCs w:val="24"/>
          <w:vertAlign w:val="superscript"/>
        </w:rPr>
        <w:t>3</w:t>
      </w:r>
      <w:r>
        <w:rPr>
          <w:rFonts w:eastAsia="方正书宋"/>
          <w:color w:val="000000"/>
          <w:sz w:val="24"/>
          <w:szCs w:val="24"/>
        </w:rPr>
        <w:t>/s，相应设计洪水位为41.7</w:t>
      </w:r>
      <w:r>
        <w:rPr>
          <w:rFonts w:eastAsia="方正书宋" w:hint="eastAsia"/>
          <w:color w:val="000000"/>
          <w:sz w:val="24"/>
          <w:szCs w:val="24"/>
        </w:rPr>
        <w:t>3</w:t>
      </w:r>
      <w:r>
        <w:rPr>
          <w:rFonts w:eastAsia="方正书宋"/>
          <w:color w:val="000000"/>
          <w:sz w:val="24"/>
          <w:szCs w:val="24"/>
        </w:rPr>
        <w:t>m。校核洪水标准为重现期100年，设计洪峰流量2750m</w:t>
      </w:r>
      <w:r>
        <w:rPr>
          <w:rFonts w:eastAsia="方正书宋"/>
          <w:color w:val="000000"/>
          <w:sz w:val="24"/>
          <w:szCs w:val="24"/>
          <w:vertAlign w:val="superscript"/>
        </w:rPr>
        <w:t>3</w:t>
      </w:r>
      <w:r>
        <w:rPr>
          <w:rFonts w:eastAsia="方正书宋"/>
          <w:color w:val="000000"/>
          <w:sz w:val="24"/>
          <w:szCs w:val="24"/>
        </w:rPr>
        <w:t>/s，相应校核洪水位为42.8</w:t>
      </w:r>
      <w:r>
        <w:rPr>
          <w:rFonts w:eastAsia="方正书宋" w:hint="eastAsia"/>
          <w:color w:val="000000"/>
          <w:sz w:val="24"/>
          <w:szCs w:val="24"/>
        </w:rPr>
        <w:t>1</w:t>
      </w:r>
      <w:r>
        <w:rPr>
          <w:rFonts w:eastAsia="方正书宋"/>
          <w:color w:val="000000"/>
          <w:sz w:val="24"/>
          <w:szCs w:val="24"/>
        </w:rPr>
        <w:t>m。</w:t>
      </w:r>
    </w:p>
    <w:p>
      <w:pPr>
        <w:spacing w:line="500" w:lineRule="exact"/>
        <w:textAlignment w:val="baseline"/>
        <w:rPr>
          <w:rFonts w:eastAsia="方正书宋" w:hint="eastAsia"/>
          <w:color w:val="000000"/>
          <w:sz w:val="24"/>
          <w:szCs w:val="24"/>
        </w:rPr>
      </w:pPr>
      <w:r>
        <w:rPr>
          <w:rFonts w:eastAsia="方正书宋"/>
          <w:color w:val="000000"/>
          <w:sz w:val="24"/>
          <w:szCs w:val="24"/>
        </w:rPr>
        <w:t xml:space="preserve">    张公桥水闸闸下游设计洪水位和校核洪水位根据闸下游水位流量关系推求。设计洪水标准30年一遇设计洪峰流量2750m</w:t>
      </w:r>
      <w:r>
        <w:rPr>
          <w:rFonts w:eastAsia="方正书宋"/>
          <w:color w:val="000000"/>
          <w:sz w:val="24"/>
          <w:szCs w:val="24"/>
          <w:vertAlign w:val="superscript"/>
        </w:rPr>
        <w:t>3</w:t>
      </w:r>
      <w:r>
        <w:rPr>
          <w:rFonts w:eastAsia="方正书宋"/>
          <w:color w:val="000000"/>
          <w:sz w:val="24"/>
          <w:szCs w:val="24"/>
        </w:rPr>
        <w:t>/s，相应闸下游洪水位42.18m。校核洪水标准100年一遇设计洪峰流量2150m</w:t>
      </w:r>
      <w:r>
        <w:rPr>
          <w:rFonts w:eastAsia="方正书宋"/>
          <w:color w:val="000000"/>
          <w:sz w:val="24"/>
          <w:szCs w:val="24"/>
          <w:vertAlign w:val="superscript"/>
        </w:rPr>
        <w:t>3</w:t>
      </w:r>
      <w:r>
        <w:rPr>
          <w:rFonts w:eastAsia="方正书宋"/>
          <w:color w:val="000000"/>
          <w:sz w:val="24"/>
          <w:szCs w:val="24"/>
        </w:rPr>
        <w:t>/s，相应闸下游洪水位为41.12m。</w:t>
      </w:r>
    </w:p>
    <w:p>
      <w:pPr>
        <w:spacing w:line="500" w:lineRule="exact"/>
        <w:ind w:left="0" w:firstLineChars="200" w:firstLine="472"/>
        <w:rPr>
          <w:rFonts w:eastAsia="方正书宋"/>
          <w:color w:val="000000"/>
          <w:spacing w:val="-2"/>
          <w:sz w:val="24"/>
          <w:szCs w:val="24"/>
        </w:rPr>
      </w:pPr>
      <w:r>
        <w:rPr>
          <w:rFonts w:eastAsia="方正书宋"/>
          <w:color w:val="000000"/>
          <w:spacing w:val="-2"/>
          <w:sz w:val="24"/>
          <w:szCs w:val="24"/>
        </w:rPr>
        <w:t>本工程所在区域属亚热带湿润季风气候，四季分明，气候温和，雨水充沛，日照充足。冷暖气团的进退对该区域的天气变化和气候形成均有重大影响。春夏两季受季风影响，暖湿空气从海洋大量输入后常与北方冷空气在本区域上空交融，形成梅雨季节，暴雨频繁，全年降水量主要集中在此期间。该区域暴雨主要有锋面雨、气旋雨和台风雨，4~6月一般多出现锋面、气旋雨；7~9月则多出现台风雨。</w:t>
      </w:r>
    </w:p>
    <w:p>
      <w:pPr>
        <w:spacing w:line="500" w:lineRule="exact"/>
        <w:ind w:firstLineChars="200" w:firstLine="480"/>
        <w:rPr>
          <w:rFonts w:eastAsia="方正书宋"/>
          <w:color w:val="000000"/>
          <w:sz w:val="24"/>
          <w:szCs w:val="24"/>
        </w:rPr>
      </w:pPr>
      <w:r>
        <w:rPr>
          <w:rFonts w:eastAsia="方正书宋"/>
          <w:color w:val="000000"/>
          <w:sz w:val="24"/>
          <w:szCs w:val="24"/>
        </w:rPr>
        <w:t>青田港为雨洪式河流，洪水由暴雨形成，出现的季节特性与暴雨出现的季节特性相同。大洪水主要由锋面雨、气旋雨形成，但有时台风雨亦可能形成大洪水。洪水一般</w:t>
      </w:r>
      <w:r>
        <w:rPr>
          <w:rFonts w:eastAsia="方正书宋" w:hint="eastAsia"/>
          <w:color w:val="000000"/>
          <w:sz w:val="24"/>
          <w:szCs w:val="24"/>
        </w:rPr>
        <w:t>从</w:t>
      </w:r>
      <w:r>
        <w:rPr>
          <w:rFonts w:eastAsia="方正书宋"/>
          <w:color w:val="000000"/>
          <w:sz w:val="24"/>
          <w:szCs w:val="24"/>
        </w:rPr>
        <w:t>3月</w:t>
      </w:r>
      <w:r>
        <w:rPr>
          <w:rFonts w:eastAsia="方正书宋" w:hint="eastAsia"/>
          <w:color w:val="000000"/>
          <w:sz w:val="24"/>
          <w:szCs w:val="24"/>
        </w:rPr>
        <w:t>开始出现</w:t>
      </w:r>
      <w:r>
        <w:rPr>
          <w:rFonts w:eastAsia="方正书宋"/>
          <w:color w:val="000000"/>
          <w:sz w:val="24"/>
          <w:szCs w:val="24"/>
        </w:rPr>
        <w:t>，4</w:t>
      </w:r>
      <w:r>
        <w:rPr>
          <w:rFonts w:eastAsia="方正书宋" w:hint="eastAsia"/>
          <w:color w:val="000000"/>
          <w:sz w:val="24"/>
          <w:szCs w:val="24"/>
        </w:rPr>
        <w:t>~6</w:t>
      </w:r>
      <w:r>
        <w:rPr>
          <w:rFonts w:eastAsia="方正书宋"/>
          <w:color w:val="000000"/>
          <w:sz w:val="24"/>
          <w:szCs w:val="24"/>
        </w:rPr>
        <w:t>月</w:t>
      </w:r>
      <w:r>
        <w:rPr>
          <w:rFonts w:eastAsia="方正书宋" w:hint="eastAsia"/>
          <w:color w:val="000000"/>
          <w:sz w:val="24"/>
          <w:szCs w:val="24"/>
        </w:rPr>
        <w:t>为主</w:t>
      </w:r>
      <w:r>
        <w:rPr>
          <w:rFonts w:eastAsia="方正书宋"/>
          <w:color w:val="000000"/>
          <w:sz w:val="24"/>
          <w:szCs w:val="24"/>
        </w:rPr>
        <w:t>汛期</w:t>
      </w:r>
      <w:r>
        <w:rPr>
          <w:rFonts w:eastAsia="方正书宋" w:hint="eastAsia"/>
          <w:color w:val="000000"/>
          <w:sz w:val="24"/>
          <w:szCs w:val="24"/>
        </w:rPr>
        <w:t>，</w:t>
      </w:r>
      <w:r>
        <w:rPr>
          <w:rFonts w:eastAsia="方正书宋"/>
          <w:color w:val="000000"/>
          <w:sz w:val="24"/>
          <w:szCs w:val="24"/>
        </w:rPr>
        <w:t>历年最大洪峰多出现在5、6月份，尤以6月份出现的机率较多，</w:t>
      </w:r>
      <w:r>
        <w:rPr>
          <w:rFonts w:eastAsia="方正书宋" w:hint="eastAsia"/>
          <w:color w:val="000000"/>
          <w:sz w:val="24"/>
          <w:szCs w:val="24"/>
        </w:rPr>
        <w:t>7~8月主要为</w:t>
      </w:r>
      <w:r>
        <w:rPr>
          <w:rFonts w:eastAsia="方正书宋"/>
          <w:color w:val="000000"/>
          <w:sz w:val="24"/>
          <w:szCs w:val="24"/>
        </w:rPr>
        <w:t>受台风影响形成的大洪水。</w:t>
      </w:r>
    </w:p>
    <w:p>
      <w:pPr>
        <w:spacing w:line="500" w:lineRule="exact"/>
        <w:ind w:firstLineChars="200" w:firstLine="480"/>
        <w:rPr>
          <w:rFonts w:eastAsia="方正书宋"/>
          <w:color w:val="000000"/>
          <w:sz w:val="24"/>
          <w:szCs w:val="24"/>
        </w:rPr>
      </w:pPr>
      <w:r>
        <w:rPr>
          <w:rFonts w:eastAsia="方正书宋"/>
          <w:color w:val="000000"/>
          <w:sz w:val="24"/>
          <w:szCs w:val="24"/>
        </w:rPr>
        <w:t>根据水闸除险加固设计要求，需进行闸址设计洪水分析计算。青田港流域未设有水文站，没有实测水文资料。闸址附近流域设有耙石和柏泉水文站，其中耙石为白塔河干流水文站，柏泉为白塔河支流泸水控制站。</w:t>
      </w:r>
      <w:r>
        <w:rPr>
          <w:rFonts w:eastAsia="方正书宋" w:hint="eastAsia"/>
          <w:color w:val="000000"/>
          <w:sz w:val="24"/>
          <w:szCs w:val="24"/>
        </w:rPr>
        <w:t>根据资料条件</w:t>
      </w:r>
      <w:r>
        <w:rPr>
          <w:rFonts w:eastAsia="方正书宋"/>
          <w:color w:val="000000"/>
          <w:sz w:val="24"/>
          <w:szCs w:val="24"/>
        </w:rPr>
        <w:t>，</w:t>
      </w:r>
      <w:r>
        <w:rPr>
          <w:rFonts w:eastAsia="方正书宋" w:hint="eastAsia"/>
          <w:color w:val="000000"/>
          <w:sz w:val="24"/>
          <w:szCs w:val="24"/>
        </w:rPr>
        <w:t>本次</w:t>
      </w:r>
      <w:r>
        <w:rPr>
          <w:rFonts w:eastAsia="方正书宋"/>
          <w:color w:val="000000"/>
          <w:sz w:val="24"/>
          <w:szCs w:val="24"/>
        </w:rPr>
        <w:t>张公桥水闸设计洪水拟采用水文比拟法和暴雨途径两种方法进行分析计算。</w:t>
      </w:r>
    </w:p>
    <w:p>
      <w:pPr>
        <w:spacing w:line="500" w:lineRule="exact"/>
        <w:ind w:firstLineChars="200" w:firstLine="480"/>
        <w:rPr>
          <w:rFonts w:eastAsia="方正书宋"/>
          <w:color w:val="000000"/>
          <w:sz w:val="24"/>
          <w:szCs w:val="24"/>
        </w:rPr>
      </w:pPr>
      <w:r>
        <w:rPr>
          <w:rFonts w:eastAsia="方正书宋"/>
          <w:color w:val="000000"/>
          <w:sz w:val="24"/>
          <w:szCs w:val="24"/>
        </w:rPr>
        <w:t>（1）水文比拟法推求设计洪水</w:t>
      </w:r>
    </w:p>
    <w:p>
      <w:pPr>
        <w:spacing w:line="500" w:lineRule="exact"/>
        <w:ind w:firstLineChars="200" w:firstLine="480"/>
        <w:rPr>
          <w:rFonts w:eastAsia="方正书宋"/>
          <w:color w:val="000000"/>
          <w:sz w:val="24"/>
          <w:szCs w:val="24"/>
        </w:rPr>
      </w:pPr>
      <w:r>
        <w:rPr>
          <w:rFonts w:eastAsia="方正书宋"/>
          <w:color w:val="000000"/>
          <w:sz w:val="24"/>
          <w:szCs w:val="24"/>
        </w:rPr>
        <w:t>耙石水文站为白塔河干流水文测站，控制流域面积2595km</w:t>
      </w:r>
      <w:r>
        <w:rPr>
          <w:rFonts w:eastAsia="方正书宋"/>
          <w:color w:val="000000"/>
          <w:sz w:val="24"/>
          <w:szCs w:val="24"/>
          <w:vertAlign w:val="superscript"/>
        </w:rPr>
        <w:t>2</w:t>
      </w:r>
      <w:r>
        <w:rPr>
          <w:rFonts w:eastAsia="方正书宋"/>
          <w:color w:val="000000"/>
          <w:sz w:val="24"/>
          <w:szCs w:val="24"/>
        </w:rPr>
        <w:t>，柏泉为白塔河上游支流泸水控制站，集水面积562km</w:t>
      </w:r>
      <w:r>
        <w:rPr>
          <w:rFonts w:eastAsia="方正书宋"/>
          <w:color w:val="000000"/>
          <w:sz w:val="24"/>
          <w:szCs w:val="24"/>
          <w:vertAlign w:val="superscript"/>
        </w:rPr>
        <w:t>2</w:t>
      </w:r>
      <w:r>
        <w:rPr>
          <w:rFonts w:eastAsia="方正书宋"/>
          <w:color w:val="000000"/>
          <w:sz w:val="24"/>
          <w:szCs w:val="24"/>
        </w:rPr>
        <w:t>，而张公桥水闸位于白塔河支流青田港上，闸址</w:t>
      </w:r>
      <w:r>
        <w:rPr>
          <w:rFonts w:eastAsia="方正书宋" w:hint="eastAsia"/>
          <w:color w:val="000000"/>
          <w:sz w:val="24"/>
          <w:szCs w:val="24"/>
        </w:rPr>
        <w:t>以</w:t>
      </w:r>
      <w:r>
        <w:rPr>
          <w:rFonts w:eastAsia="方正书宋"/>
          <w:color w:val="000000"/>
          <w:sz w:val="24"/>
          <w:szCs w:val="24"/>
        </w:rPr>
        <w:t>上流域面积经采用1:1万地形图量算为627km</w:t>
      </w:r>
      <w:r>
        <w:rPr>
          <w:rFonts w:eastAsia="方正书宋"/>
          <w:color w:val="000000"/>
          <w:sz w:val="24"/>
          <w:szCs w:val="24"/>
          <w:vertAlign w:val="superscript"/>
        </w:rPr>
        <w:t>2</w:t>
      </w:r>
      <w:r>
        <w:rPr>
          <w:rFonts w:eastAsia="方正书宋" w:hint="eastAsia"/>
          <w:color w:val="000000"/>
          <w:sz w:val="24"/>
          <w:szCs w:val="24"/>
        </w:rPr>
        <w:t>，与柏泉水文站集水面积相近，</w:t>
      </w:r>
      <w:r>
        <w:rPr>
          <w:rFonts w:eastAsia="方正书宋"/>
          <w:color w:val="000000"/>
          <w:sz w:val="24"/>
          <w:szCs w:val="24"/>
        </w:rPr>
        <w:t>因此，本次除险加固设计采用柏泉站作为设计依据站进行张公桥水闸设计洪水计算。</w:t>
      </w:r>
    </w:p>
    <w:p>
      <w:pPr>
        <w:spacing w:line="500" w:lineRule="exact"/>
        <w:ind w:firstLineChars="200" w:firstLine="480"/>
        <w:rPr>
          <w:rFonts w:eastAsia="方正书宋" w:hint="eastAsia"/>
          <w:color w:val="000000"/>
          <w:sz w:val="24"/>
          <w:szCs w:val="24"/>
        </w:rPr>
      </w:pPr>
      <w:r>
        <w:rPr>
          <w:rFonts w:eastAsia="方正书宋"/>
          <w:color w:val="000000"/>
          <w:sz w:val="24"/>
          <w:szCs w:val="24"/>
        </w:rPr>
        <w:t>本次除险加固设计收集到柏泉站自1963年至2009年连续的年最大洪峰流量资料，根据《江西省洪水调查资料》（1983年），柏泉站有1922、1940、1949、1953和1954共5年的历史洪水资料，其中1922年的历史洪水洪峰流量最大，为1590 m</w:t>
      </w:r>
      <w:r>
        <w:rPr>
          <w:rFonts w:eastAsia="方正书宋"/>
          <w:color w:val="000000"/>
          <w:sz w:val="24"/>
          <w:szCs w:val="24"/>
          <w:vertAlign w:val="superscript"/>
        </w:rPr>
        <w:t>3</w:t>
      </w:r>
      <w:r>
        <w:rPr>
          <w:rFonts w:eastAsia="方正书宋"/>
          <w:color w:val="000000"/>
          <w:sz w:val="24"/>
          <w:szCs w:val="24"/>
        </w:rPr>
        <w:t>/s，略小于实测洪峰流量的最大值1600 m</w:t>
      </w:r>
      <w:r>
        <w:rPr>
          <w:rFonts w:eastAsia="方正书宋"/>
          <w:color w:val="000000"/>
          <w:sz w:val="24"/>
          <w:szCs w:val="24"/>
          <w:vertAlign w:val="superscript"/>
        </w:rPr>
        <w:t>3</w:t>
      </w:r>
      <w:r>
        <w:rPr>
          <w:rFonts w:eastAsia="方正书宋"/>
          <w:color w:val="000000"/>
          <w:sz w:val="24"/>
          <w:szCs w:val="24"/>
        </w:rPr>
        <w:t>/s（1976年），而其它年份的历史洪水则远小于实测最大洪峰流量。因此将1976年洪水从实测系列中提出作特大值处理，</w:t>
      </w:r>
      <w:r>
        <w:rPr>
          <w:rFonts w:eastAsia="方正书宋" w:hint="eastAsia"/>
          <w:color w:val="000000"/>
          <w:sz w:val="24"/>
          <w:szCs w:val="24"/>
        </w:rPr>
        <w:t>采</w:t>
      </w:r>
      <w:r>
        <w:rPr>
          <w:rFonts w:eastAsia="方正书宋"/>
          <w:color w:val="000000"/>
          <w:sz w:val="24"/>
          <w:szCs w:val="24"/>
        </w:rPr>
        <w:t>用迄止年法</w:t>
      </w:r>
      <w:r>
        <w:rPr>
          <w:rFonts w:eastAsia="方正书宋" w:hint="eastAsia"/>
          <w:color w:val="000000"/>
          <w:sz w:val="24"/>
          <w:szCs w:val="24"/>
        </w:rPr>
        <w:t>确定</w:t>
      </w:r>
      <w:r>
        <w:rPr>
          <w:rFonts w:eastAsia="方正书宋"/>
          <w:color w:val="000000"/>
          <w:sz w:val="24"/>
          <w:szCs w:val="24"/>
        </w:rPr>
        <w:t>其重现期为88年一遇，本阶段取为90年一遇，并将1922年历史洪水加入到实测年序列中，组成一个不连序的年最大洪峰流量序列，按不连序洪水序列的经验频率计算公式确定洪水的经验频率，选用P-Ⅲ型曲线适线，推求出设计洪水的洪峰流量。柏泉站年最大洪水洪峰流量频率曲线参数及主要频率设计值见表2.4.1，频率曲线见图2-1。张公桥水闸闸址以上流域面积为627.2km</w:t>
      </w:r>
      <w:r>
        <w:rPr>
          <w:rFonts w:eastAsia="方正书宋"/>
          <w:color w:val="000000"/>
          <w:sz w:val="24"/>
          <w:szCs w:val="24"/>
          <w:vertAlign w:val="superscript"/>
        </w:rPr>
        <w:t>2</w:t>
      </w:r>
      <w:r>
        <w:rPr>
          <w:rFonts w:eastAsia="方正书宋"/>
          <w:color w:val="000000"/>
          <w:sz w:val="24"/>
          <w:szCs w:val="24"/>
        </w:rPr>
        <w:t>，采用水文比拟法分析计算闸址处设计洪水，面积比系数取2/3。闸址处设计洪水成果见表2.4.1。</w:t>
      </w:r>
    </w:p>
    <w:p>
      <w:pPr>
        <w:spacing w:afterLines="50" w:after="156" w:line="360" w:lineRule="auto"/>
        <w:jc w:val="center"/>
        <w:rPr>
          <w:rFonts w:eastAsia="新宋体" w:hint="eastAsia"/>
          <w:color w:val="000000"/>
          <w:sz w:val="24"/>
          <w:szCs w:val="24"/>
        </w:rPr>
      </w:pPr>
      <w:r>
        <w:rPr>
          <w:rFonts w:eastAsia="新宋体"/>
          <w:color w:val="000000"/>
          <w:sz w:val="24"/>
          <w:szCs w:val="24"/>
        </w:rPr>
        <w:drawing>
          <wp:inline distT="0" distB="0" distL="0" distR="0">
            <wp:extent cx="5372100" cy="3486150"/>
            <wp:effectExtent l="0" t="0" r="0" b="0"/>
            <wp:docPr id="1" name="图片 1" descr="图片1"/>
            <wp:cNvGraphicFramePr>
              <a:graphicFrameLocks noChangeAspect="1"/>
            </wp:cNvGraphicFramePr>
            <a:graphic>
              <a:graphicData uri="http://schemas.openxmlformats.org/drawingml/2006/picture">
                <pic:pic>
                  <pic:nvPicPr>
                    <pic:cNvPr id="3" name="图片 3"/>
                    <pic:cNvPicPr/>
                  </pic:nvPicPr>
                  <pic:blipFill>
                    <a:blip r:embed="rId2"/>
                    <a:stretch>
                      <a:fillRect/>
                    </a:stretch>
                  </pic:blipFill>
                  <pic:spPr>
                    <a:xfrm rot="0">
                      <a:off x="0" y="0"/>
                      <a:ext cx="5372100" cy="3486150"/>
                    </a:xfrm>
                    <a:prstGeom prst="rect"/>
                    <a:noFill/>
                    <a:ln w="9525" cmpd="sng" cap="flat">
                      <a:noFill/>
                      <a:prstDash val="solid"/>
                      <a:miter/>
                    </a:ln>
                  </pic:spPr>
                </pic:pic>
              </a:graphicData>
            </a:graphic>
          </wp:inline>
        </w:drawing>
      </w:r>
    </w:p>
    <w:p>
      <w:pPr>
        <w:spacing w:afterLines="50" w:after="156" w:line="360" w:lineRule="auto"/>
        <w:jc w:val="center"/>
        <w:rPr>
          <w:rFonts w:ascii="新宋体" w:eastAsia="新宋体"/>
          <w:b/>
          <w:color w:val="000000"/>
          <w:sz w:val="24"/>
          <w:szCs w:val="24"/>
        </w:rPr>
      </w:pPr>
      <w:r>
        <w:rPr>
          <w:rFonts w:eastAsia="新宋体"/>
          <w:color w:val="000000"/>
          <w:sz w:val="24"/>
          <w:szCs w:val="24"/>
        </w:rPr>
        <w:t>图2-1</w:t>
      </w:r>
      <w:r>
        <w:rPr>
          <w:rFonts w:ascii="新宋体" w:eastAsia="新宋体" w:hint="eastAsia"/>
          <w:color w:val="000000"/>
          <w:sz w:val="24"/>
          <w:szCs w:val="24"/>
        </w:rPr>
        <w:t xml:space="preserve"> </w:t>
      </w:r>
      <w:r>
        <w:rPr>
          <w:rFonts w:ascii="新宋体" w:eastAsia="新宋体" w:hint="eastAsia"/>
          <w:b/>
          <w:color w:val="000000"/>
          <w:sz w:val="24"/>
          <w:szCs w:val="24"/>
        </w:rPr>
        <w:t xml:space="preserve">   柏泉站年最大洪峰流量频率曲线</w:t>
      </w:r>
    </w:p>
    <w:p>
      <w:pPr>
        <w:spacing w:line="500" w:lineRule="exact"/>
        <w:ind w:firstLineChars="200" w:firstLine="480"/>
        <w:rPr>
          <w:rFonts w:eastAsia="方正书宋"/>
          <w:color w:val="000000"/>
          <w:sz w:val="24"/>
          <w:szCs w:val="24"/>
        </w:rPr>
      </w:pPr>
      <w:r>
        <w:rPr>
          <w:rFonts w:eastAsia="方正书宋"/>
          <w:color w:val="000000"/>
          <w:sz w:val="24"/>
          <w:szCs w:val="24"/>
        </w:rPr>
        <w:t>（2）暴雨途径推求设计洪水</w:t>
      </w:r>
    </w:p>
    <w:p>
      <w:pPr>
        <w:spacing w:line="500" w:lineRule="exact"/>
        <w:ind w:firstLineChars="200" w:firstLine="480"/>
        <w:rPr>
          <w:rFonts w:eastAsia="方正书宋"/>
          <w:color w:val="000000"/>
          <w:sz w:val="24"/>
        </w:rPr>
      </w:pPr>
      <w:r>
        <w:rPr>
          <w:rFonts w:eastAsia="方正书宋"/>
          <w:color w:val="000000"/>
          <w:sz w:val="24"/>
          <w:szCs w:val="24"/>
        </w:rPr>
        <w:t>张公桥水闸闸址上游控制流域面积627</w:t>
      </w:r>
      <w:r>
        <w:rPr>
          <w:rFonts w:eastAsia="方正书宋"/>
          <w:color w:val="000000"/>
          <w:sz w:val="24"/>
        </w:rPr>
        <w:t>km</w:t>
      </w:r>
      <w:r>
        <w:rPr>
          <w:rFonts w:eastAsia="方正书宋"/>
          <w:color w:val="000000"/>
          <w:sz w:val="24"/>
          <w:vertAlign w:val="superscript"/>
        </w:rPr>
        <w:t>2</w:t>
      </w:r>
      <w:r>
        <w:rPr>
          <w:rFonts w:eastAsia="方正书宋"/>
          <w:color w:val="000000"/>
          <w:sz w:val="24"/>
        </w:rPr>
        <w:t>，</w:t>
      </w:r>
      <w:r>
        <w:rPr>
          <w:rFonts w:eastAsia="方正书宋" w:hint="eastAsia"/>
          <w:color w:val="000000"/>
          <w:sz w:val="24"/>
        </w:rPr>
        <w:t>本次采用</w:t>
      </w:r>
      <w:r>
        <w:rPr>
          <w:rFonts w:eastAsia="方正书宋"/>
          <w:color w:val="000000"/>
          <w:sz w:val="24"/>
        </w:rPr>
        <w:t>《江西省暴雨洪水查算手册》</w:t>
      </w:r>
      <w:r>
        <w:rPr>
          <w:rFonts w:eastAsia="方正书宋" w:hint="eastAsia"/>
          <w:color w:val="000000"/>
          <w:sz w:val="24"/>
        </w:rPr>
        <w:t>方法计算闸址处设计洪水进行分析比较</w:t>
      </w:r>
      <w:r>
        <w:rPr>
          <w:rFonts w:eastAsia="方正书宋"/>
          <w:color w:val="000000"/>
          <w:sz w:val="24"/>
        </w:rPr>
        <w:t>，</w:t>
      </w:r>
      <w:r>
        <w:rPr>
          <w:rFonts w:eastAsia="方正书宋" w:hint="eastAsia"/>
          <w:color w:val="000000"/>
          <w:sz w:val="24"/>
        </w:rPr>
        <w:t>根据《手册》规定，</w:t>
      </w:r>
      <w:r>
        <w:rPr>
          <w:rFonts w:eastAsia="方正书宋"/>
          <w:color w:val="000000"/>
          <w:sz w:val="24"/>
        </w:rPr>
        <w:t>流域面积大于50km</w:t>
      </w:r>
      <w:r>
        <w:rPr>
          <w:rFonts w:eastAsia="方正书宋"/>
          <w:color w:val="000000"/>
          <w:sz w:val="24"/>
          <w:vertAlign w:val="superscript"/>
        </w:rPr>
        <w:t>2</w:t>
      </w:r>
      <w:r>
        <w:rPr>
          <w:rFonts w:eastAsia="方正书宋"/>
          <w:color w:val="000000"/>
          <w:sz w:val="24"/>
        </w:rPr>
        <w:t>时一般采用瞬时单位线法计算设计洪水。根据闸址控制断面以上流域中心位置查《手册》中的相应附图，得其闸址断面控制流域的各时段暴雨均值和相应的变差系数Cv值见表2.4.2，取Cs=3.5Cv推求其流域设计暴雨，并依据闸址上游流域特征参数（流域面积F=627km</w:t>
      </w:r>
      <w:r>
        <w:rPr>
          <w:rFonts w:eastAsia="方正书宋"/>
          <w:color w:val="000000"/>
          <w:sz w:val="24"/>
          <w:vertAlign w:val="superscript"/>
        </w:rPr>
        <w:t>2</w:t>
      </w:r>
      <w:r>
        <w:rPr>
          <w:rFonts w:eastAsia="方正书宋"/>
          <w:color w:val="000000"/>
          <w:sz w:val="24"/>
        </w:rPr>
        <w:t>，主河道长度L=71.8km，主河道平均坡降J=1.73‰），按《手册》中提供设计暴雨时程分配采用瞬时单位线法计算闸址处设计洪水成果见表2.4.1。</w:t>
      </w:r>
    </w:p>
    <w:p>
      <w:pPr>
        <w:spacing w:line="360" w:lineRule="auto"/>
        <w:jc w:val="center"/>
        <w:rPr>
          <w:rFonts w:ascii="新宋体" w:eastAsia="新宋体"/>
          <w:b/>
          <w:color w:val="000000"/>
          <w:sz w:val="24"/>
        </w:rPr>
      </w:pPr>
      <w:r>
        <w:rPr>
          <w:rFonts w:eastAsia="新宋体"/>
          <w:color w:val="000000"/>
          <w:sz w:val="24"/>
        </w:rPr>
        <w:t>表2.4.1</w:t>
      </w:r>
      <w:r>
        <w:rPr>
          <w:rFonts w:ascii="新宋体" w:eastAsia="新宋体" w:hint="eastAsia"/>
          <w:b/>
          <w:color w:val="000000"/>
          <w:sz w:val="24"/>
        </w:rPr>
        <w:t xml:space="preserve">    柏泉站及张公桥水闸闸址断面处设计洪水成果表</w:t>
      </w:r>
    </w:p>
    <w:tbl>
      <w:tblPr>
        <w:jc w:val="cent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Grid>
        <w:gridCol w:w="1011"/>
        <w:gridCol w:w="787"/>
        <w:gridCol w:w="787"/>
        <w:gridCol w:w="787"/>
        <w:gridCol w:w="793"/>
        <w:gridCol w:w="787"/>
        <w:gridCol w:w="787"/>
        <w:gridCol w:w="787"/>
        <w:gridCol w:w="789"/>
        <w:gridCol w:w="1207"/>
      </w:tblGrid>
      <w:tr>
        <w:trPr>
          <w:trHeight w:hRule="exact" w:val="551"/>
        </w:trPr>
        <w:tc>
          <w:tcPr>
            <w:tcW w:w="593" w:type="pct"/>
            <w:vMerge w:val="restart"/>
            <w:shd w:val="clear" w:color="auto" w:fill="auto"/>
            <w:vAlign w:val="center"/>
          </w:tcPr>
          <w:p>
            <w:pPr>
              <w:widowControl/>
              <w:jc w:val="center"/>
              <w:rPr>
                <w:rFonts w:eastAsia="新宋体"/>
                <w:color w:val="000000"/>
                <w:szCs w:val="21"/>
              </w:rPr>
            </w:pPr>
            <w:r>
              <w:rPr>
                <w:rFonts w:eastAsia="新宋体"/>
                <w:color w:val="000000"/>
                <w:szCs w:val="21"/>
              </w:rPr>
              <w:t>站名</w:t>
            </w:r>
          </w:p>
          <w:p>
            <w:pPr>
              <w:widowControl/>
              <w:jc w:val="center"/>
              <w:rPr>
                <w:rFonts w:eastAsia="新宋体"/>
                <w:color w:val="000000"/>
                <w:szCs w:val="21"/>
              </w:rPr>
            </w:pPr>
            <w:r>
              <w:rPr>
                <w:rFonts w:eastAsia="新宋体"/>
                <w:color w:val="000000"/>
                <w:szCs w:val="21"/>
              </w:rPr>
              <w:t>(断面)</w:t>
            </w:r>
          </w:p>
        </w:tc>
        <w:tc>
          <w:tcPr>
            <w:tcW w:w="462" w:type="pct"/>
            <w:vMerge w:val="restart"/>
            <w:shd w:val="clear" w:color="auto" w:fill="auto"/>
            <w:vAlign w:val="center"/>
          </w:tcPr>
          <w:p>
            <w:pPr>
              <w:widowControl/>
              <w:jc w:val="center"/>
              <w:rPr>
                <w:rFonts w:eastAsia="新宋体"/>
                <w:color w:val="000000"/>
                <w:szCs w:val="21"/>
              </w:rPr>
            </w:pPr>
            <w:r>
              <w:rPr>
                <w:rFonts w:eastAsia="新宋体"/>
                <w:color w:val="000000"/>
                <w:szCs w:val="21"/>
              </w:rPr>
              <w:t>面积</w:t>
            </w:r>
          </w:p>
          <w:p>
            <w:pPr>
              <w:widowControl/>
              <w:jc w:val="center"/>
              <w:rPr>
                <w:rFonts w:eastAsia="新宋体"/>
                <w:color w:val="000000"/>
                <w:szCs w:val="21"/>
              </w:rPr>
            </w:pPr>
            <w:r>
              <w:rPr>
                <w:rFonts w:eastAsia="新宋体"/>
                <w:color w:val="000000"/>
                <w:szCs w:val="21"/>
              </w:rPr>
              <w:t>(km</w:t>
            </w:r>
            <w:r>
              <w:rPr>
                <w:rFonts w:eastAsia="新宋体"/>
                <w:color w:val="000000"/>
                <w:szCs w:val="21"/>
                <w:vertAlign w:val="superscript"/>
              </w:rPr>
              <w:t>2</w:t>
            </w:r>
            <w:r>
              <w:rPr>
                <w:rFonts w:eastAsia="新宋体"/>
                <w:color w:val="000000"/>
                <w:szCs w:val="21"/>
              </w:rPr>
              <w:t>)</w:t>
            </w:r>
          </w:p>
        </w:tc>
        <w:tc>
          <w:tcPr>
            <w:tcW w:w="462" w:type="pct"/>
            <w:vMerge w:val="restart"/>
            <w:shd w:val="clear" w:color="auto" w:fill="auto"/>
            <w:vAlign w:val="center"/>
          </w:tcPr>
          <w:p>
            <w:pPr>
              <w:widowControl/>
              <w:jc w:val="center"/>
              <w:rPr>
                <w:rFonts w:eastAsia="新宋体"/>
                <w:color w:val="000000"/>
                <w:szCs w:val="21"/>
              </w:rPr>
            </w:pPr>
            <w:r>
              <w:rPr>
                <w:rFonts w:eastAsia="新宋体"/>
                <w:color w:val="000000"/>
                <w:szCs w:val="21"/>
              </w:rPr>
              <w:t>均值</w:t>
            </w:r>
          </w:p>
          <w:p>
            <w:pPr>
              <w:widowControl/>
              <w:jc w:val="center"/>
              <w:rPr>
                <w:rFonts w:eastAsia="新宋体"/>
                <w:color w:val="000000"/>
                <w:szCs w:val="21"/>
              </w:rPr>
            </w:pPr>
            <w:r>
              <w:rPr>
                <w:rFonts w:eastAsia="新宋体"/>
                <w:color w:val="000000"/>
                <w:szCs w:val="21"/>
              </w:rPr>
              <w:t>(m</w:t>
            </w:r>
            <w:r>
              <w:rPr>
                <w:rFonts w:eastAsia="新宋体"/>
                <w:color w:val="000000"/>
                <w:szCs w:val="21"/>
                <w:vertAlign w:val="superscript"/>
              </w:rPr>
              <w:t>3</w:t>
            </w:r>
            <w:r>
              <w:rPr>
                <w:rFonts w:eastAsia="新宋体"/>
                <w:color w:val="000000"/>
                <w:szCs w:val="21"/>
              </w:rPr>
              <w:t>/s)</w:t>
            </w:r>
          </w:p>
        </w:tc>
        <w:tc>
          <w:tcPr>
            <w:tcW w:w="462" w:type="pct"/>
            <w:vMerge w:val="restart"/>
            <w:shd w:val="clear" w:color="auto" w:fill="auto"/>
            <w:vAlign w:val="center"/>
          </w:tcPr>
          <w:p>
            <w:pPr>
              <w:widowControl/>
              <w:jc w:val="center"/>
              <w:rPr>
                <w:rFonts w:eastAsia="新宋体"/>
                <w:color w:val="000000"/>
                <w:szCs w:val="21"/>
              </w:rPr>
            </w:pPr>
            <w:r>
              <w:rPr>
                <w:rFonts w:eastAsia="新宋体"/>
                <w:color w:val="000000"/>
                <w:szCs w:val="21"/>
              </w:rPr>
              <w:t>Cv</w:t>
            </w:r>
          </w:p>
        </w:tc>
        <w:tc>
          <w:tcPr>
            <w:tcW w:w="465" w:type="pct"/>
            <w:vMerge w:val="restart"/>
            <w:shd w:val="clear" w:color="auto" w:fill="auto"/>
            <w:vAlign w:val="center"/>
          </w:tcPr>
          <w:p>
            <w:pPr>
              <w:widowControl/>
              <w:jc w:val="center"/>
              <w:rPr>
                <w:rFonts w:eastAsia="新宋体"/>
                <w:color w:val="000000"/>
                <w:szCs w:val="21"/>
              </w:rPr>
            </w:pPr>
            <w:r>
              <w:rPr>
                <w:rFonts w:eastAsia="新宋体"/>
                <w:color w:val="000000"/>
                <w:szCs w:val="21"/>
              </w:rPr>
              <w:t>Cs/Cv</w:t>
            </w:r>
          </w:p>
        </w:tc>
        <w:tc>
          <w:tcPr>
            <w:tcW w:w="1849" w:type="pct"/>
            <w:gridSpan w:val="4"/>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各频率设计流量（m</w:t>
            </w:r>
            <w:r>
              <w:rPr>
                <w:rFonts w:ascii="Times New Roman" w:eastAsia="新宋体" w:hAnsi="Times New Roman"/>
                <w:color w:val="000000"/>
                <w:sz w:val="21"/>
                <w:szCs w:val="21"/>
                <w:vertAlign w:val="superscript"/>
                <w:lang w:val="en-US" w:eastAsia="zh-CN"/>
              </w:rPr>
              <w:t>3</w:t>
            </w:r>
            <w:r>
              <w:rPr>
                <w:rFonts w:ascii="Times New Roman" w:eastAsia="新宋体" w:hAnsi="Times New Roman"/>
                <w:color w:val="000000"/>
                <w:sz w:val="21"/>
                <w:szCs w:val="21"/>
                <w:lang w:val="en-US" w:eastAsia="zh-CN"/>
              </w:rPr>
              <w:t>/s）</w:t>
            </w:r>
          </w:p>
        </w:tc>
        <w:tc>
          <w:tcPr>
            <w:tcW w:w="708" w:type="pct"/>
            <w:vMerge w:val="restar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计算方法</w:t>
            </w:r>
          </w:p>
        </w:tc>
      </w:tr>
      <w:tr>
        <w:trPr>
          <w:trHeight w:hRule="exact" w:val="551"/>
        </w:trPr>
        <w:tc>
          <w:tcPr>
            <w:tcW w:w="593" w:type="pct"/>
            <w:vMerge/>
            <w:shd w:val="clear" w:color="auto" w:fill="auto"/>
            <w:vAlign w:val="center"/>
          </w:tcPr>
          <w:p/>
        </w:tc>
        <w:tc>
          <w:tcPr>
            <w:tcW w:w="462" w:type="pct"/>
            <w:vMerge/>
            <w:shd w:val="clear" w:color="auto" w:fill="auto"/>
            <w:vAlign w:val="center"/>
          </w:tcPr>
          <w:p/>
        </w:tc>
        <w:tc>
          <w:tcPr>
            <w:tcW w:w="462" w:type="pct"/>
            <w:vMerge/>
            <w:shd w:val="clear" w:color="auto" w:fill="auto"/>
            <w:vAlign w:val="center"/>
          </w:tcPr>
          <w:p/>
        </w:tc>
        <w:tc>
          <w:tcPr>
            <w:tcW w:w="462" w:type="pct"/>
            <w:vMerge/>
            <w:shd w:val="clear" w:color="auto" w:fill="auto"/>
            <w:vAlign w:val="center"/>
          </w:tcPr>
          <w:p/>
        </w:tc>
        <w:tc>
          <w:tcPr>
            <w:tcW w:w="465" w:type="pct"/>
            <w:vMerge/>
            <w:shd w:val="clear" w:color="auto" w:fill="auto"/>
            <w:vAlign w:val="center"/>
          </w:tcPr>
          <w:p/>
        </w:tc>
        <w:tc>
          <w:tcPr>
            <w:tcW w:w="462" w:type="pc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1％</w:t>
            </w:r>
          </w:p>
        </w:tc>
        <w:tc>
          <w:tcPr>
            <w:tcW w:w="462" w:type="pc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2％</w:t>
            </w:r>
          </w:p>
        </w:tc>
        <w:tc>
          <w:tcPr>
            <w:tcW w:w="462" w:type="pc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3.3％</w:t>
            </w:r>
          </w:p>
        </w:tc>
        <w:tc>
          <w:tcPr>
            <w:tcW w:w="463" w:type="pc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10%</w:t>
            </w:r>
          </w:p>
        </w:tc>
        <w:tc>
          <w:tcPr>
            <w:tcW w:w="708" w:type="pct"/>
            <w:vMerge/>
            <w:shd w:val="clear" w:color="auto" w:fill="auto"/>
            <w:vAlign w:val="center"/>
          </w:tcPr>
          <w:p/>
        </w:tc>
      </w:tr>
      <w:tr>
        <w:trPr>
          <w:trHeight w:hRule="exact" w:val="551"/>
        </w:trPr>
        <w:tc>
          <w:tcPr>
            <w:tcW w:w="593" w:type="pc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柏泉站</w:t>
            </w:r>
          </w:p>
        </w:tc>
        <w:tc>
          <w:tcPr>
            <w:tcW w:w="462" w:type="pc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562</w:t>
            </w:r>
          </w:p>
        </w:tc>
        <w:tc>
          <w:tcPr>
            <w:tcW w:w="462" w:type="pc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665</w:t>
            </w:r>
          </w:p>
        </w:tc>
        <w:tc>
          <w:tcPr>
            <w:tcW w:w="462" w:type="pc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0.5</w:t>
            </w:r>
          </w:p>
        </w:tc>
        <w:tc>
          <w:tcPr>
            <w:tcW w:w="465" w:type="pc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3.</w:t>
            </w:r>
            <w:r>
              <w:rPr>
                <w:rFonts w:ascii="Times New Roman" w:eastAsia="新宋体" w:hAnsi="Times New Roman" w:hint="eastAsia"/>
                <w:color w:val="000000"/>
                <w:sz w:val="21"/>
                <w:szCs w:val="21"/>
                <w:lang w:val="en-US" w:eastAsia="zh-CN"/>
              </w:rPr>
              <w:t>0</w:t>
            </w:r>
          </w:p>
        </w:tc>
        <w:tc>
          <w:tcPr>
            <w:tcW w:w="462" w:type="pct"/>
            <w:shd w:val="clear" w:color="auto" w:fill="auto"/>
            <w:vAlign w:val="center"/>
          </w:tcPr>
          <w:p>
            <w:pPr>
              <w:jc w:val="center"/>
              <w:rPr>
                <w:rFonts w:eastAsia="新宋体" w:hint="eastAsia"/>
                <w:color w:val="000000"/>
                <w:szCs w:val="21"/>
              </w:rPr>
            </w:pPr>
            <w:r>
              <w:rPr>
                <w:rFonts w:eastAsia="新宋体"/>
                <w:color w:val="000000"/>
                <w:szCs w:val="21"/>
              </w:rPr>
              <w:t>177</w:t>
            </w:r>
            <w:r>
              <w:rPr>
                <w:rFonts w:eastAsia="新宋体" w:hint="eastAsia"/>
                <w:color w:val="000000"/>
                <w:szCs w:val="21"/>
              </w:rPr>
              <w:t>0</w:t>
            </w:r>
          </w:p>
        </w:tc>
        <w:tc>
          <w:tcPr>
            <w:tcW w:w="462" w:type="pct"/>
            <w:shd w:val="clear" w:color="auto" w:fill="auto"/>
            <w:vAlign w:val="center"/>
          </w:tcPr>
          <w:p>
            <w:pPr>
              <w:jc w:val="center"/>
              <w:rPr>
                <w:rFonts w:eastAsia="新宋体" w:hint="eastAsia"/>
                <w:color w:val="000000"/>
                <w:szCs w:val="21"/>
              </w:rPr>
            </w:pPr>
            <w:r>
              <w:rPr>
                <w:rFonts w:eastAsia="新宋体"/>
                <w:color w:val="000000"/>
                <w:szCs w:val="21"/>
              </w:rPr>
              <w:t>15</w:t>
            </w:r>
            <w:r>
              <w:rPr>
                <w:rFonts w:eastAsia="新宋体" w:hint="eastAsia"/>
                <w:color w:val="000000"/>
                <w:szCs w:val="21"/>
              </w:rPr>
              <w:t>80</w:t>
            </w:r>
          </w:p>
        </w:tc>
        <w:tc>
          <w:tcPr>
            <w:tcW w:w="462" w:type="pct"/>
            <w:shd w:val="clear" w:color="auto" w:fill="auto"/>
            <w:vAlign w:val="center"/>
          </w:tcPr>
          <w:p>
            <w:pPr>
              <w:jc w:val="center"/>
              <w:rPr>
                <w:rFonts w:eastAsia="新宋体"/>
                <w:color w:val="000000"/>
                <w:szCs w:val="21"/>
              </w:rPr>
            </w:pPr>
            <w:r>
              <w:rPr>
                <w:rFonts w:eastAsia="新宋体"/>
                <w:color w:val="000000"/>
                <w:szCs w:val="21"/>
              </w:rPr>
              <w:t>1460</w:t>
            </w:r>
          </w:p>
        </w:tc>
        <w:tc>
          <w:tcPr>
            <w:tcW w:w="463" w:type="pct"/>
            <w:shd w:val="clear" w:color="auto" w:fill="auto"/>
            <w:vAlign w:val="center"/>
          </w:tcPr>
          <w:p>
            <w:pPr>
              <w:jc w:val="center"/>
              <w:rPr>
                <w:rFonts w:eastAsia="新宋体" w:hint="eastAsia"/>
                <w:color w:val="000000"/>
                <w:szCs w:val="21"/>
              </w:rPr>
            </w:pPr>
            <w:r>
              <w:rPr>
                <w:rFonts w:eastAsia="新宋体"/>
                <w:color w:val="000000"/>
                <w:szCs w:val="21"/>
              </w:rPr>
              <w:t>11</w:t>
            </w:r>
            <w:r>
              <w:rPr>
                <w:rFonts w:eastAsia="新宋体" w:hint="eastAsia"/>
                <w:color w:val="000000"/>
                <w:szCs w:val="21"/>
              </w:rPr>
              <w:t>10</w:t>
            </w:r>
          </w:p>
        </w:tc>
        <w:tc>
          <w:tcPr>
            <w:tcW w:w="708" w:type="pct"/>
            <w:shd w:val="clear" w:color="auto" w:fill="auto"/>
            <w:vAlign w:val="center"/>
          </w:tcPr>
          <w:p>
            <w:pPr>
              <w:jc w:val="center"/>
              <w:rPr>
                <w:rFonts w:eastAsia="新宋体"/>
                <w:color w:val="000000"/>
                <w:szCs w:val="21"/>
              </w:rPr>
            </w:pPr>
          </w:p>
        </w:tc>
      </w:tr>
      <w:tr>
        <w:trPr>
          <w:trHeight w:hRule="exact" w:val="551"/>
        </w:trPr>
        <w:tc>
          <w:tcPr>
            <w:tcW w:w="593" w:type="pct"/>
            <w:vMerge w:val="restar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闸址</w:t>
            </w:r>
          </w:p>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断面</w:t>
            </w:r>
          </w:p>
        </w:tc>
        <w:tc>
          <w:tcPr>
            <w:tcW w:w="462" w:type="pct"/>
            <w:vMerge w:val="restar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627.2</w:t>
            </w:r>
          </w:p>
        </w:tc>
        <w:tc>
          <w:tcPr>
            <w:tcW w:w="462" w:type="pct"/>
            <w:vMerge w:val="restar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w:t>
            </w:r>
          </w:p>
        </w:tc>
        <w:tc>
          <w:tcPr>
            <w:tcW w:w="462" w:type="pct"/>
            <w:vMerge w:val="restar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w:t>
            </w:r>
          </w:p>
        </w:tc>
        <w:tc>
          <w:tcPr>
            <w:tcW w:w="465" w:type="pct"/>
            <w:vMerge w:val="restart"/>
            <w:shd w:val="clear" w:color="auto" w:fill="auto"/>
            <w:vAlign w:val="center"/>
          </w:tcPr>
          <w:p>
            <w:pPr>
              <w:pStyle w:val="16"/>
              <w:ind w:left="0"/>
              <w:jc w:val="center"/>
              <w:rPr>
                <w:rFonts w:ascii="Times New Roman" w:eastAsia="新宋体" w:hAnsi="Times New Roman"/>
                <w:color w:val="000000"/>
                <w:sz w:val="21"/>
                <w:szCs w:val="21"/>
                <w:lang w:val="en-US" w:eastAsia="zh-CN"/>
              </w:rPr>
            </w:pPr>
            <w:r>
              <w:rPr>
                <w:rFonts w:ascii="Times New Roman" w:eastAsia="新宋体" w:hAnsi="Times New Roman"/>
                <w:color w:val="000000"/>
                <w:sz w:val="21"/>
                <w:szCs w:val="21"/>
                <w:lang w:val="en-US" w:eastAsia="zh-CN"/>
              </w:rPr>
              <w:t>＼</w:t>
            </w:r>
          </w:p>
        </w:tc>
        <w:tc>
          <w:tcPr>
            <w:tcW w:w="462" w:type="pct"/>
            <w:shd w:val="clear" w:color="auto" w:fill="auto"/>
            <w:vAlign w:val="center"/>
          </w:tcPr>
          <w:p>
            <w:pPr>
              <w:jc w:val="center"/>
              <w:rPr>
                <w:rFonts w:eastAsia="新宋体" w:hint="eastAsia"/>
                <w:color w:val="000000"/>
                <w:szCs w:val="21"/>
              </w:rPr>
            </w:pPr>
            <w:r>
              <w:rPr>
                <w:rFonts w:eastAsia="新宋体"/>
                <w:color w:val="000000"/>
                <w:szCs w:val="21"/>
              </w:rPr>
              <w:t>19</w:t>
            </w:r>
            <w:r>
              <w:rPr>
                <w:rFonts w:eastAsia="新宋体" w:hint="eastAsia"/>
                <w:color w:val="000000"/>
                <w:szCs w:val="21"/>
              </w:rPr>
              <w:t>10</w:t>
            </w:r>
          </w:p>
        </w:tc>
        <w:tc>
          <w:tcPr>
            <w:tcW w:w="462" w:type="pct"/>
            <w:shd w:val="clear" w:color="auto" w:fill="auto"/>
            <w:vAlign w:val="center"/>
          </w:tcPr>
          <w:p>
            <w:pPr>
              <w:jc w:val="center"/>
              <w:rPr>
                <w:rFonts w:eastAsia="新宋体" w:hint="eastAsia"/>
                <w:color w:val="000000"/>
                <w:szCs w:val="21"/>
              </w:rPr>
            </w:pPr>
            <w:r>
              <w:rPr>
                <w:rFonts w:eastAsia="新宋体"/>
                <w:color w:val="000000"/>
                <w:szCs w:val="21"/>
              </w:rPr>
              <w:t>1</w:t>
            </w:r>
            <w:r>
              <w:rPr>
                <w:rFonts w:eastAsia="新宋体" w:hint="eastAsia"/>
                <w:color w:val="000000"/>
                <w:szCs w:val="21"/>
              </w:rPr>
              <w:t>700</w:t>
            </w:r>
          </w:p>
        </w:tc>
        <w:tc>
          <w:tcPr>
            <w:tcW w:w="462" w:type="pct"/>
            <w:shd w:val="clear" w:color="auto" w:fill="auto"/>
            <w:vAlign w:val="center"/>
          </w:tcPr>
          <w:p>
            <w:pPr>
              <w:jc w:val="center"/>
              <w:rPr>
                <w:rFonts w:eastAsia="新宋体" w:hint="eastAsia"/>
                <w:color w:val="000000"/>
                <w:szCs w:val="21"/>
              </w:rPr>
            </w:pPr>
            <w:r>
              <w:rPr>
                <w:rFonts w:eastAsia="新宋体"/>
                <w:color w:val="000000"/>
                <w:szCs w:val="21"/>
              </w:rPr>
              <w:t>15</w:t>
            </w:r>
            <w:r>
              <w:rPr>
                <w:rFonts w:eastAsia="新宋体" w:hint="eastAsia"/>
                <w:color w:val="000000"/>
                <w:szCs w:val="21"/>
              </w:rPr>
              <w:t>70</w:t>
            </w:r>
          </w:p>
        </w:tc>
        <w:tc>
          <w:tcPr>
            <w:tcW w:w="463" w:type="pct"/>
            <w:shd w:val="clear" w:color="auto" w:fill="auto"/>
            <w:vAlign w:val="center"/>
          </w:tcPr>
          <w:p>
            <w:pPr>
              <w:jc w:val="center"/>
              <w:rPr>
                <w:rFonts w:eastAsia="新宋体" w:hint="eastAsia"/>
                <w:color w:val="000000"/>
                <w:szCs w:val="21"/>
              </w:rPr>
            </w:pPr>
            <w:r>
              <w:rPr>
                <w:rFonts w:eastAsia="新宋体"/>
                <w:color w:val="000000"/>
                <w:szCs w:val="21"/>
              </w:rPr>
              <w:t>119</w:t>
            </w:r>
            <w:r>
              <w:rPr>
                <w:rFonts w:eastAsia="新宋体" w:hint="eastAsia"/>
                <w:color w:val="000000"/>
                <w:szCs w:val="21"/>
              </w:rPr>
              <w:t>0</w:t>
            </w:r>
          </w:p>
        </w:tc>
        <w:tc>
          <w:tcPr>
            <w:tcW w:w="708" w:type="pct"/>
            <w:shd w:val="clear" w:color="auto" w:fill="auto"/>
            <w:vAlign w:val="center"/>
          </w:tcPr>
          <w:p>
            <w:pPr>
              <w:jc w:val="center"/>
              <w:rPr>
                <w:rFonts w:eastAsia="新宋体"/>
                <w:color w:val="000000"/>
                <w:szCs w:val="21"/>
              </w:rPr>
            </w:pPr>
            <w:r>
              <w:rPr>
                <w:rFonts w:eastAsia="新宋体"/>
                <w:color w:val="000000"/>
                <w:szCs w:val="21"/>
              </w:rPr>
              <w:t>水文比拟</w:t>
            </w:r>
          </w:p>
        </w:tc>
      </w:tr>
      <w:tr>
        <w:trPr>
          <w:trHeight w:hRule="exact" w:val="551"/>
        </w:trPr>
        <w:tc>
          <w:tcPr>
            <w:tcW w:w="593" w:type="pct"/>
            <w:vMerge/>
            <w:shd w:val="clear" w:color="auto" w:fill="auto"/>
            <w:vAlign w:val="center"/>
          </w:tcPr>
          <w:p/>
        </w:tc>
        <w:tc>
          <w:tcPr>
            <w:tcW w:w="462" w:type="pct"/>
            <w:vMerge/>
            <w:shd w:val="clear" w:color="auto" w:fill="auto"/>
            <w:vAlign w:val="center"/>
          </w:tcPr>
          <w:p/>
        </w:tc>
        <w:tc>
          <w:tcPr>
            <w:tcW w:w="462" w:type="pct"/>
            <w:vMerge/>
            <w:shd w:val="clear" w:color="auto" w:fill="auto"/>
            <w:vAlign w:val="center"/>
          </w:tcPr>
          <w:p/>
        </w:tc>
        <w:tc>
          <w:tcPr>
            <w:tcW w:w="462" w:type="pct"/>
            <w:vMerge/>
            <w:shd w:val="clear" w:color="auto" w:fill="auto"/>
            <w:vAlign w:val="center"/>
          </w:tcPr>
          <w:p/>
        </w:tc>
        <w:tc>
          <w:tcPr>
            <w:tcW w:w="465" w:type="pct"/>
            <w:vMerge/>
            <w:shd w:val="clear" w:color="auto" w:fill="auto"/>
            <w:vAlign w:val="center"/>
          </w:tcPr>
          <w:p/>
        </w:tc>
        <w:tc>
          <w:tcPr>
            <w:tcW w:w="462" w:type="pct"/>
            <w:shd w:val="clear" w:color="auto" w:fill="auto"/>
            <w:vAlign w:val="center"/>
          </w:tcPr>
          <w:p>
            <w:pPr>
              <w:jc w:val="center"/>
              <w:rPr>
                <w:rFonts w:eastAsia="新宋体" w:hint="eastAsia"/>
                <w:color w:val="000000"/>
                <w:szCs w:val="21"/>
              </w:rPr>
            </w:pPr>
            <w:r>
              <w:rPr>
                <w:rFonts w:eastAsia="新宋体"/>
                <w:color w:val="000000"/>
                <w:szCs w:val="21"/>
              </w:rPr>
              <w:t>275</w:t>
            </w:r>
            <w:r>
              <w:rPr>
                <w:rFonts w:eastAsia="新宋体" w:hint="eastAsia"/>
                <w:color w:val="000000"/>
                <w:szCs w:val="21"/>
              </w:rPr>
              <w:t>0</w:t>
            </w:r>
          </w:p>
        </w:tc>
        <w:tc>
          <w:tcPr>
            <w:tcW w:w="462" w:type="pct"/>
            <w:shd w:val="clear" w:color="auto" w:fill="auto"/>
            <w:vAlign w:val="center"/>
          </w:tcPr>
          <w:p>
            <w:pPr>
              <w:jc w:val="center"/>
              <w:rPr>
                <w:rFonts w:eastAsia="新宋体" w:hint="eastAsia"/>
                <w:color w:val="000000"/>
                <w:szCs w:val="21"/>
              </w:rPr>
            </w:pPr>
            <w:r>
              <w:rPr>
                <w:rFonts w:eastAsia="新宋体"/>
                <w:color w:val="000000"/>
                <w:szCs w:val="21"/>
              </w:rPr>
              <w:t>237</w:t>
            </w:r>
            <w:r>
              <w:rPr>
                <w:rFonts w:eastAsia="新宋体" w:hint="eastAsia"/>
                <w:color w:val="000000"/>
                <w:szCs w:val="21"/>
              </w:rPr>
              <w:t>0</w:t>
            </w:r>
          </w:p>
        </w:tc>
        <w:tc>
          <w:tcPr>
            <w:tcW w:w="462" w:type="pct"/>
            <w:shd w:val="clear" w:color="auto" w:fill="auto"/>
            <w:vAlign w:val="center"/>
          </w:tcPr>
          <w:p>
            <w:pPr>
              <w:jc w:val="center"/>
              <w:rPr>
                <w:rFonts w:eastAsia="新宋体"/>
                <w:color w:val="000000"/>
                <w:szCs w:val="21"/>
              </w:rPr>
            </w:pPr>
            <w:r>
              <w:rPr>
                <w:rFonts w:eastAsia="新宋体"/>
                <w:color w:val="000000"/>
                <w:szCs w:val="21"/>
              </w:rPr>
              <w:t>2150</w:t>
            </w:r>
          </w:p>
        </w:tc>
        <w:tc>
          <w:tcPr>
            <w:tcW w:w="463" w:type="pct"/>
            <w:shd w:val="clear" w:color="auto" w:fill="auto"/>
            <w:vAlign w:val="center"/>
          </w:tcPr>
          <w:p>
            <w:pPr>
              <w:jc w:val="center"/>
              <w:rPr>
                <w:rFonts w:eastAsia="新宋体"/>
                <w:color w:val="000000"/>
                <w:szCs w:val="21"/>
              </w:rPr>
            </w:pPr>
            <w:r>
              <w:rPr>
                <w:rFonts w:eastAsia="新宋体"/>
                <w:color w:val="000000"/>
                <w:szCs w:val="21"/>
              </w:rPr>
              <w:t>1480</w:t>
            </w:r>
          </w:p>
        </w:tc>
        <w:tc>
          <w:tcPr>
            <w:tcW w:w="708" w:type="pct"/>
            <w:shd w:val="clear" w:color="auto" w:fill="auto"/>
            <w:vAlign w:val="center"/>
          </w:tcPr>
          <w:p>
            <w:pPr>
              <w:jc w:val="center"/>
              <w:rPr>
                <w:rFonts w:eastAsia="新宋体"/>
                <w:color w:val="000000"/>
                <w:szCs w:val="21"/>
              </w:rPr>
            </w:pPr>
            <w:r>
              <w:rPr>
                <w:rFonts w:eastAsia="新宋体"/>
                <w:color w:val="000000"/>
                <w:szCs w:val="21"/>
              </w:rPr>
              <w:t>单位线</w:t>
            </w:r>
          </w:p>
        </w:tc>
      </w:tr>
    </w:tbl>
    <w:p>
      <w:pPr>
        <w:spacing w:afterLines="50" w:after="156" w:line="360" w:lineRule="auto"/>
        <w:jc w:val="center"/>
        <w:rPr>
          <w:rFonts w:ascii="新宋体" w:eastAsia="新宋体" w:hint="eastAsia"/>
          <w:b/>
          <w:color w:val="000000"/>
          <w:sz w:val="24"/>
        </w:rPr>
      </w:pPr>
    </w:p>
    <w:p>
      <w:pPr>
        <w:spacing w:afterLines="50" w:after="156" w:line="360" w:lineRule="auto"/>
        <w:jc w:val="center"/>
        <w:rPr>
          <w:rFonts w:ascii="新宋体" w:eastAsia="新宋体"/>
          <w:b/>
          <w:color w:val="000000"/>
          <w:sz w:val="24"/>
        </w:rPr>
      </w:pPr>
      <w:r>
        <w:rPr>
          <w:rFonts w:eastAsia="新宋体"/>
          <w:color w:val="000000"/>
          <w:sz w:val="24"/>
        </w:rPr>
        <w:t>表2.4.2</w:t>
      </w:r>
      <w:r>
        <w:rPr>
          <w:rFonts w:ascii="新宋体" w:eastAsia="新宋体"/>
          <w:b/>
          <w:color w:val="000000"/>
          <w:sz w:val="24"/>
        </w:rPr>
        <w:t xml:space="preserve">      </w:t>
      </w:r>
      <w:r>
        <w:rPr>
          <w:rFonts w:ascii="新宋体" w:eastAsia="新宋体" w:hint="eastAsia"/>
          <w:b/>
          <w:color w:val="000000"/>
          <w:sz w:val="24"/>
        </w:rPr>
        <w:t>张公桥水闸</w:t>
      </w:r>
      <w:r>
        <w:rPr>
          <w:rFonts w:ascii="新宋体" w:eastAsia="新宋体"/>
          <w:b/>
          <w:color w:val="000000"/>
          <w:sz w:val="24"/>
        </w:rPr>
        <w:t>流域设计点暴雨成果表</w:t>
      </w:r>
    </w:p>
    <w:tbl>
      <w:tblPr>
        <w:jc w:val="center"/>
        <w:tblW w:w="502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57" w:type="dxa"/>
          <w:bottom w:w="0" w:type="dxa"/>
          <w:right w:w="57" w:type="dxa"/>
        </w:tblCellMar>
      </w:tblPr>
      <w:tblGrid>
        <w:gridCol w:w="1424"/>
        <w:gridCol w:w="879"/>
        <w:gridCol w:w="883"/>
        <w:gridCol w:w="877"/>
        <w:gridCol w:w="879"/>
        <w:gridCol w:w="877"/>
        <w:gridCol w:w="879"/>
        <w:gridCol w:w="877"/>
        <w:gridCol w:w="877"/>
      </w:tblGrid>
      <w:tr>
        <w:trPr>
          <w:trHeight w:val="442"/>
        </w:trPr>
        <w:tc>
          <w:tcPr>
            <w:tcW w:w="842" w:type="pct"/>
            <w:vMerge w:val="restar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断面名称</w:t>
            </w:r>
          </w:p>
        </w:tc>
        <w:tc>
          <w:tcPr>
            <w:tcW w:w="1042" w:type="pct"/>
            <w:gridSpan w:val="2"/>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最大1h</w:t>
            </w:r>
          </w:p>
        </w:tc>
        <w:tc>
          <w:tcPr>
            <w:tcW w:w="1039" w:type="pct"/>
            <w:gridSpan w:val="2"/>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最大6h</w:t>
            </w:r>
          </w:p>
        </w:tc>
        <w:tc>
          <w:tcPr>
            <w:tcW w:w="1039" w:type="pct"/>
            <w:gridSpan w:val="2"/>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最大24h</w:t>
            </w:r>
          </w:p>
        </w:tc>
        <w:tc>
          <w:tcPr>
            <w:tcW w:w="1038" w:type="pct"/>
            <w:gridSpan w:val="2"/>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最大72h</w:t>
            </w:r>
          </w:p>
        </w:tc>
      </w:tr>
      <w:tr>
        <w:trPr>
          <w:trHeight w:val="442"/>
        </w:trPr>
        <w:tc>
          <w:tcPr>
            <w:tcW w:w="842" w:type="pct"/>
            <w:vMerge/>
            <w:vAlign w:val="center"/>
          </w:tcPr>
          <w:p/>
        </w:tc>
        <w:tc>
          <w:tcPr>
            <w:tcW w:w="520"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均值</w:t>
            </w:r>
          </w:p>
          <w:p>
            <w:pPr>
              <w:widowControl/>
              <w:spacing w:line="240" w:lineRule="atLeast"/>
              <w:jc w:val="center"/>
              <w:rPr>
                <w:rFonts w:eastAsia="新宋体"/>
                <w:color w:val="000000"/>
                <w:szCs w:val="21"/>
              </w:rPr>
            </w:pPr>
            <w:r>
              <w:rPr>
                <w:rFonts w:eastAsia="新宋体"/>
                <w:color w:val="000000"/>
                <w:szCs w:val="21"/>
              </w:rPr>
              <w:t>(mm)</w:t>
            </w:r>
          </w:p>
        </w:tc>
        <w:tc>
          <w:tcPr>
            <w:tcW w:w="521"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Cv</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均值</w:t>
            </w:r>
          </w:p>
          <w:p>
            <w:pPr>
              <w:widowControl/>
              <w:spacing w:line="240" w:lineRule="atLeast"/>
              <w:jc w:val="center"/>
              <w:rPr>
                <w:rFonts w:eastAsia="新宋体"/>
                <w:color w:val="000000"/>
                <w:szCs w:val="21"/>
              </w:rPr>
            </w:pPr>
            <w:r>
              <w:rPr>
                <w:rFonts w:eastAsia="新宋体"/>
                <w:color w:val="000000"/>
                <w:szCs w:val="21"/>
              </w:rPr>
              <w:t>(mm)</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Cv</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均值</w:t>
            </w:r>
          </w:p>
          <w:p>
            <w:pPr>
              <w:widowControl/>
              <w:spacing w:line="240" w:lineRule="atLeast"/>
              <w:jc w:val="center"/>
              <w:rPr>
                <w:rFonts w:eastAsia="新宋体"/>
                <w:color w:val="000000"/>
                <w:szCs w:val="21"/>
              </w:rPr>
            </w:pPr>
            <w:r>
              <w:rPr>
                <w:rFonts w:eastAsia="新宋体"/>
                <w:color w:val="000000"/>
                <w:szCs w:val="21"/>
              </w:rPr>
              <w:t>(mm)</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Cv</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均值</w:t>
            </w:r>
          </w:p>
          <w:p>
            <w:pPr>
              <w:widowControl/>
              <w:spacing w:line="240" w:lineRule="atLeast"/>
              <w:jc w:val="center"/>
              <w:rPr>
                <w:rFonts w:eastAsia="新宋体"/>
                <w:color w:val="000000"/>
                <w:szCs w:val="21"/>
              </w:rPr>
            </w:pPr>
            <w:r>
              <w:rPr>
                <w:rFonts w:eastAsia="新宋体"/>
                <w:color w:val="000000"/>
                <w:szCs w:val="21"/>
              </w:rPr>
              <w:t>(mm)</w:t>
            </w:r>
          </w:p>
        </w:tc>
        <w:tc>
          <w:tcPr>
            <w:tcW w:w="518"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Cv</w:t>
            </w:r>
          </w:p>
        </w:tc>
      </w:tr>
      <w:tr>
        <w:trPr>
          <w:trHeight w:val="442"/>
        </w:trPr>
        <w:tc>
          <w:tcPr>
            <w:tcW w:w="842"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张公桥水闸</w:t>
            </w:r>
          </w:p>
        </w:tc>
        <w:tc>
          <w:tcPr>
            <w:tcW w:w="520"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46</w:t>
            </w:r>
          </w:p>
        </w:tc>
        <w:tc>
          <w:tcPr>
            <w:tcW w:w="521"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0.49</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79</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0.46</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122</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0.44</w:t>
            </w:r>
          </w:p>
        </w:tc>
        <w:tc>
          <w:tcPr>
            <w:tcW w:w="519"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170</w:t>
            </w:r>
          </w:p>
        </w:tc>
        <w:tc>
          <w:tcPr>
            <w:tcW w:w="518" w:type="pct"/>
            <w:shd w:val="clear" w:color="auto" w:fill="auto"/>
            <w:vAlign w:val="center"/>
          </w:tcPr>
          <w:p>
            <w:pPr>
              <w:widowControl/>
              <w:spacing w:line="240" w:lineRule="atLeast"/>
              <w:jc w:val="center"/>
              <w:rPr>
                <w:rFonts w:eastAsia="新宋体"/>
                <w:color w:val="000000"/>
                <w:szCs w:val="21"/>
              </w:rPr>
            </w:pPr>
            <w:r>
              <w:rPr>
                <w:rFonts w:eastAsia="新宋体"/>
                <w:color w:val="000000"/>
                <w:szCs w:val="21"/>
              </w:rPr>
              <w:t>0.45</w:t>
            </w:r>
          </w:p>
        </w:tc>
      </w:tr>
    </w:tbl>
    <w:p>
      <w:pPr>
        <w:spacing w:line="500" w:lineRule="exact"/>
        <w:ind w:firstLineChars="200" w:firstLine="480"/>
        <w:rPr>
          <w:rFonts w:eastAsia="方正书宋"/>
          <w:color w:val="000000"/>
          <w:sz w:val="24"/>
          <w:szCs w:val="24"/>
        </w:rPr>
      </w:pPr>
      <w:r>
        <w:rPr>
          <w:rFonts w:eastAsia="方正书宋"/>
          <w:color w:val="000000"/>
          <w:sz w:val="24"/>
          <w:szCs w:val="24"/>
        </w:rPr>
        <w:t>两种方法推求的闸址处设计洪水成果相差比较大。从安全角度考虑，本次闸址处设计洪水成果采用暴雨途径法推求的设计洪水成果。</w:t>
      </w:r>
    </w:p>
    <w:p>
      <w:pPr>
        <w:spacing w:line="500" w:lineRule="exact"/>
        <w:outlineLvl w:val="0"/>
        <w:rPr>
          <w:rFonts w:eastAsia="方正书宋"/>
          <w:color w:val="000000"/>
          <w:sz w:val="24"/>
          <w:szCs w:val="24"/>
        </w:rPr>
      </w:pPr>
      <w:r>
        <w:rPr>
          <w:rFonts w:eastAsia="方正书宋"/>
          <w:color w:val="000000"/>
          <w:sz w:val="24"/>
          <w:szCs w:val="24"/>
        </w:rPr>
        <w:t>2.4.3 施工期洪水</w:t>
      </w:r>
    </w:p>
    <w:p>
      <w:pPr>
        <w:spacing w:line="500" w:lineRule="exact"/>
        <w:ind w:firstLineChars="200" w:firstLine="480"/>
        <w:rPr>
          <w:rFonts w:eastAsia="方正书宋"/>
          <w:color w:val="000000"/>
          <w:sz w:val="24"/>
        </w:rPr>
      </w:pPr>
      <w:r>
        <w:rPr>
          <w:rFonts w:eastAsia="方正书宋"/>
          <w:color w:val="000000"/>
          <w:sz w:val="24"/>
          <w:szCs w:val="24"/>
        </w:rPr>
        <w:t>青田港流域洪水具有一定的季节性变化规律，但该流域没有实测水文资料，根据对其附近</w:t>
      </w:r>
      <w:r>
        <w:rPr>
          <w:rFonts w:eastAsia="方正书宋"/>
          <w:color w:val="000000"/>
          <w:sz w:val="24"/>
        </w:rPr>
        <w:t>泸水流域控制站柏泉站实测资料统计，大洪水多发于4月至7月。根据洪水季节性变化特点，施工组织设计的施工洪水分期时段按施工期6个月（9月~次年2月）、5个月（9月~次年1月）和4个月（10月~次年1月）划分,</w:t>
      </w:r>
      <w:r>
        <w:rPr>
          <w:rFonts w:eastAsia="方正书宋"/>
          <w:color w:val="000000"/>
        </w:rPr>
        <w:t xml:space="preserve"> </w:t>
      </w:r>
      <w:r>
        <w:rPr>
          <w:rFonts w:eastAsia="方正书宋"/>
          <w:color w:val="000000"/>
          <w:sz w:val="24"/>
        </w:rPr>
        <w:t>施工期洪水频率取10年一遇。</w:t>
      </w:r>
    </w:p>
    <w:p>
      <w:pPr>
        <w:spacing w:line="500" w:lineRule="exact"/>
        <w:ind w:firstLineChars="200" w:firstLine="480"/>
        <w:rPr>
          <w:rFonts w:eastAsia="方正书宋"/>
          <w:color w:val="000000"/>
          <w:sz w:val="24"/>
        </w:rPr>
      </w:pPr>
      <w:r>
        <w:rPr>
          <w:rFonts w:eastAsia="方正书宋"/>
          <w:color w:val="000000"/>
          <w:sz w:val="24"/>
        </w:rPr>
        <w:t>闸址处施工洪水计算采用水文比拟法计算。各施工时段柏泉站设计洪水采用不跨期独立选样原则，从实测系列中选取各分期时段内的年最大值，组成实测样本系列。根据各分期洪水的实测样本系列，采用与年最大洪水相同的计算方法和适线原则进行分析计算。柏泉站和闸址处施工洪水计算成果见表2.4.3。</w:t>
      </w:r>
    </w:p>
    <w:p>
      <w:pPr>
        <w:spacing w:line="500" w:lineRule="exact"/>
        <w:ind w:firstLineChars="200" w:firstLine="480"/>
        <w:rPr>
          <w:rFonts w:eastAsia="方正书宋"/>
          <w:color w:val="000000"/>
          <w:sz w:val="24"/>
        </w:rPr>
      </w:pPr>
      <w:r>
        <w:rPr>
          <w:rFonts w:eastAsia="方正书宋"/>
          <w:color w:val="000000"/>
          <w:sz w:val="24"/>
        </w:rPr>
        <w:t>另外根据施工组织需要，本次除险加固还对P=10%的9月份和10月份的月平均流量进行了分析计算。采用柏泉站自1963年至2009年的连续实测流量资料，进行频率计算，并采用</w:t>
      </w:r>
      <w:r>
        <w:rPr>
          <w:rFonts w:eastAsia="方正书宋"/>
          <w:color w:val="000000"/>
          <w:sz w:val="24"/>
          <w:szCs w:val="24"/>
        </w:rPr>
        <w:t>P-Ⅲ型曲线适线，推求出柏泉站P=10%的9月份月平均流量为26.2m</w:t>
      </w:r>
      <w:r>
        <w:rPr>
          <w:rFonts w:eastAsia="方正书宋"/>
          <w:color w:val="000000"/>
          <w:sz w:val="24"/>
          <w:szCs w:val="24"/>
          <w:vertAlign w:val="superscript"/>
        </w:rPr>
        <w:t>3</w:t>
      </w:r>
      <w:r>
        <w:rPr>
          <w:rFonts w:eastAsia="方正书宋"/>
          <w:color w:val="000000"/>
          <w:sz w:val="24"/>
          <w:szCs w:val="24"/>
        </w:rPr>
        <w:t>/s，10月份平均流量为15.5 m</w:t>
      </w:r>
      <w:r>
        <w:rPr>
          <w:rFonts w:eastAsia="方正书宋"/>
          <w:color w:val="000000"/>
          <w:sz w:val="24"/>
          <w:szCs w:val="24"/>
          <w:vertAlign w:val="superscript"/>
        </w:rPr>
        <w:t>3</w:t>
      </w:r>
      <w:r>
        <w:rPr>
          <w:rFonts w:eastAsia="方正书宋"/>
          <w:color w:val="000000"/>
          <w:sz w:val="24"/>
          <w:szCs w:val="24"/>
        </w:rPr>
        <w:t>/s。再采用水文比拟法（面积比指数n=1），计算出闸址断面P=10%的9月份月平均流量为29.2m</w:t>
      </w:r>
      <w:r>
        <w:rPr>
          <w:rFonts w:eastAsia="方正书宋"/>
          <w:color w:val="000000"/>
          <w:sz w:val="24"/>
          <w:szCs w:val="24"/>
          <w:vertAlign w:val="superscript"/>
        </w:rPr>
        <w:t>3</w:t>
      </w:r>
      <w:r>
        <w:rPr>
          <w:rFonts w:eastAsia="方正书宋"/>
          <w:color w:val="000000"/>
          <w:sz w:val="24"/>
          <w:szCs w:val="24"/>
        </w:rPr>
        <w:t>/s，10月份平均流量为17.3 m</w:t>
      </w:r>
      <w:r>
        <w:rPr>
          <w:rFonts w:eastAsia="方正书宋"/>
          <w:color w:val="000000"/>
          <w:sz w:val="24"/>
          <w:szCs w:val="24"/>
          <w:vertAlign w:val="superscript"/>
        </w:rPr>
        <w:t>3</w:t>
      </w:r>
      <w:r>
        <w:rPr>
          <w:rFonts w:eastAsia="方正书宋"/>
          <w:color w:val="000000"/>
          <w:sz w:val="24"/>
          <w:szCs w:val="24"/>
        </w:rPr>
        <w:t>/s。</w:t>
      </w:r>
    </w:p>
    <w:p>
      <w:pPr>
        <w:spacing w:line="500" w:lineRule="exact"/>
        <w:ind w:firstLineChars="200" w:firstLine="480"/>
        <w:jc w:val="center"/>
        <w:rPr>
          <w:rFonts w:ascii="新宋体" w:eastAsia="新宋体"/>
          <w:b/>
          <w:color w:val="000000"/>
          <w:sz w:val="24"/>
        </w:rPr>
      </w:pPr>
      <w:r>
        <w:rPr>
          <w:rFonts w:eastAsia="方正书宋"/>
          <w:color w:val="000000"/>
          <w:sz w:val="24"/>
        </w:rPr>
        <w:t>表2.4.3</w:t>
      </w:r>
      <w:r>
        <w:rPr>
          <w:rFonts w:eastAsia="方正书宋"/>
          <w:b/>
          <w:color w:val="000000"/>
          <w:sz w:val="24"/>
        </w:rPr>
        <w:t xml:space="preserve">    柏泉站及张公桥水闸闸址</w:t>
      </w:r>
      <w:r>
        <w:rPr>
          <w:rFonts w:ascii="新宋体" w:eastAsia="新宋体" w:hint="eastAsia"/>
          <w:b/>
          <w:color w:val="000000"/>
          <w:sz w:val="24"/>
        </w:rPr>
        <w:t>断面处施工洪水成果表</w:t>
      </w:r>
    </w:p>
    <w:tbl>
      <w:tblPr>
        <w:jc w:val="center"/>
        <w:tblW w:w="498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Grid>
        <w:gridCol w:w="2633"/>
        <w:gridCol w:w="1954"/>
        <w:gridCol w:w="1955"/>
        <w:gridCol w:w="1952"/>
      </w:tblGrid>
      <w:tr>
        <w:trPr>
          <w:trHeight w:val="566"/>
        </w:trPr>
        <w:tc>
          <w:tcPr>
            <w:tcW w:w="1550" w:type="pct"/>
            <w:vMerge w:val="restart"/>
            <w:shd w:val="clear" w:color="auto" w:fill="auto"/>
            <w:noWrap/>
            <w:vAlign w:val="center"/>
          </w:tcPr>
          <w:p>
            <w:pPr>
              <w:widowControl/>
              <w:jc w:val="center"/>
              <w:rPr>
                <w:rFonts w:eastAsia="新宋体"/>
                <w:color w:val="000000"/>
              </w:rPr>
            </w:pPr>
            <w:r>
              <w:rPr>
                <w:rFonts w:eastAsia="新宋体"/>
                <w:color w:val="000000"/>
              </w:rPr>
              <w:t>施工期</w:t>
            </w:r>
          </w:p>
        </w:tc>
        <w:tc>
          <w:tcPr>
            <w:tcW w:w="1150" w:type="pct"/>
            <w:vMerge w:val="restart"/>
            <w:shd w:val="clear" w:color="auto" w:fill="auto"/>
            <w:noWrap/>
            <w:vAlign w:val="center"/>
          </w:tcPr>
          <w:p>
            <w:pPr>
              <w:widowControl/>
              <w:jc w:val="center"/>
              <w:rPr>
                <w:rFonts w:eastAsia="新宋体"/>
                <w:color w:val="000000"/>
              </w:rPr>
            </w:pPr>
            <w:r>
              <w:rPr>
                <w:rFonts w:eastAsia="新宋体"/>
                <w:color w:val="000000"/>
              </w:rPr>
              <w:t>频率</w:t>
            </w:r>
          </w:p>
        </w:tc>
        <w:tc>
          <w:tcPr>
            <w:tcW w:w="2300" w:type="pct"/>
            <w:gridSpan w:val="2"/>
            <w:shd w:val="clear" w:color="auto" w:fill="auto"/>
            <w:noWrap/>
            <w:vAlign w:val="center"/>
          </w:tcPr>
          <w:p>
            <w:pPr>
              <w:widowControl/>
              <w:jc w:val="center"/>
              <w:rPr>
                <w:rFonts w:eastAsia="新宋体"/>
                <w:color w:val="000000"/>
              </w:rPr>
            </w:pPr>
            <w:r>
              <w:rPr>
                <w:rFonts w:eastAsia="新宋体"/>
                <w:color w:val="000000"/>
              </w:rPr>
              <w:t>施工洪水洪峰流量（m</w:t>
            </w:r>
            <w:r>
              <w:rPr>
                <w:rFonts w:eastAsia="新宋体"/>
                <w:color w:val="000000"/>
                <w:vertAlign w:val="superscript"/>
              </w:rPr>
              <w:t>3</w:t>
            </w:r>
            <w:r>
              <w:rPr>
                <w:rFonts w:eastAsia="新宋体"/>
                <w:color w:val="000000"/>
              </w:rPr>
              <w:t>/s）</w:t>
            </w:r>
          </w:p>
        </w:tc>
      </w:tr>
      <w:tr>
        <w:trPr>
          <w:trHeight w:val="566"/>
        </w:trPr>
        <w:tc>
          <w:tcPr>
            <w:tcW w:w="1550" w:type="pct"/>
            <w:vMerge/>
            <w:shd w:val="clear" w:color="auto" w:fill="auto"/>
            <w:noWrap/>
            <w:vAlign w:val="center"/>
          </w:tcPr>
          <w:p/>
        </w:tc>
        <w:tc>
          <w:tcPr>
            <w:tcW w:w="1150" w:type="pct"/>
            <w:vMerge/>
            <w:shd w:val="clear" w:color="auto" w:fill="auto"/>
            <w:noWrap/>
            <w:vAlign w:val="center"/>
          </w:tcPr>
          <w:p/>
        </w:tc>
        <w:tc>
          <w:tcPr>
            <w:tcW w:w="1151" w:type="pct"/>
            <w:shd w:val="clear" w:color="auto" w:fill="auto"/>
            <w:noWrap/>
            <w:vAlign w:val="center"/>
          </w:tcPr>
          <w:p>
            <w:pPr>
              <w:widowControl/>
              <w:jc w:val="center"/>
              <w:rPr>
                <w:rFonts w:eastAsia="新宋体"/>
                <w:color w:val="000000"/>
              </w:rPr>
            </w:pPr>
            <w:r>
              <w:rPr>
                <w:rFonts w:eastAsia="新宋体"/>
                <w:color w:val="000000"/>
              </w:rPr>
              <w:t>张公桥</w:t>
            </w:r>
          </w:p>
        </w:tc>
        <w:tc>
          <w:tcPr>
            <w:tcW w:w="1149" w:type="pct"/>
            <w:shd w:val="clear" w:color="auto" w:fill="auto"/>
            <w:noWrap/>
            <w:vAlign w:val="center"/>
          </w:tcPr>
          <w:p>
            <w:pPr>
              <w:widowControl/>
              <w:jc w:val="center"/>
              <w:rPr>
                <w:rFonts w:eastAsia="新宋体"/>
                <w:color w:val="000000"/>
              </w:rPr>
            </w:pPr>
            <w:r>
              <w:rPr>
                <w:rFonts w:eastAsia="新宋体"/>
                <w:color w:val="000000"/>
              </w:rPr>
              <w:t>柏泉</w:t>
            </w:r>
          </w:p>
        </w:tc>
      </w:tr>
      <w:tr>
        <w:trPr>
          <w:trHeight w:val="566"/>
        </w:trPr>
        <w:tc>
          <w:tcPr>
            <w:tcW w:w="1550" w:type="pct"/>
            <w:shd w:val="clear" w:color="auto" w:fill="auto"/>
            <w:noWrap/>
            <w:vAlign w:val="center"/>
          </w:tcPr>
          <w:p>
            <w:pPr>
              <w:widowControl/>
              <w:jc w:val="center"/>
              <w:rPr>
                <w:rFonts w:eastAsia="新宋体"/>
                <w:color w:val="000000"/>
              </w:rPr>
            </w:pPr>
            <w:r>
              <w:rPr>
                <w:rFonts w:eastAsia="新宋体"/>
                <w:color w:val="000000"/>
              </w:rPr>
              <w:t>4个月（10月~次年1月）</w:t>
            </w:r>
          </w:p>
        </w:tc>
        <w:tc>
          <w:tcPr>
            <w:tcW w:w="1150" w:type="pct"/>
            <w:shd w:val="clear" w:color="auto" w:fill="auto"/>
            <w:noWrap/>
            <w:vAlign w:val="center"/>
          </w:tcPr>
          <w:p>
            <w:pPr>
              <w:widowControl/>
              <w:jc w:val="center"/>
              <w:rPr>
                <w:rFonts w:eastAsia="新宋体"/>
                <w:color w:val="000000"/>
              </w:rPr>
            </w:pPr>
            <w:r>
              <w:rPr>
                <w:rFonts w:eastAsia="新宋体"/>
                <w:color w:val="000000"/>
              </w:rPr>
              <w:t>p=10%</w:t>
            </w:r>
          </w:p>
        </w:tc>
        <w:tc>
          <w:tcPr>
            <w:tcW w:w="1151" w:type="pct"/>
            <w:shd w:val="clear" w:color="auto" w:fill="auto"/>
            <w:noWrap/>
          </w:tcPr>
          <w:p>
            <w:pPr>
              <w:widowControl/>
              <w:jc w:val="center"/>
              <w:rPr>
                <w:rFonts w:eastAsia="新宋体"/>
                <w:color w:val="000000"/>
              </w:rPr>
            </w:pPr>
            <w:r>
              <w:rPr>
                <w:rFonts w:eastAsia="新宋体"/>
                <w:color w:val="000000"/>
              </w:rPr>
              <w:t>185</w:t>
            </w:r>
          </w:p>
        </w:tc>
        <w:tc>
          <w:tcPr>
            <w:tcW w:w="1149" w:type="pct"/>
            <w:shd w:val="clear" w:color="auto" w:fill="auto"/>
            <w:noWrap/>
          </w:tcPr>
          <w:p>
            <w:pPr>
              <w:widowControl/>
              <w:jc w:val="center"/>
              <w:rPr>
                <w:rFonts w:eastAsia="新宋体"/>
                <w:color w:val="000000"/>
              </w:rPr>
            </w:pPr>
            <w:r>
              <w:rPr>
                <w:rFonts w:eastAsia="新宋体"/>
                <w:color w:val="000000"/>
              </w:rPr>
              <w:t>172</w:t>
            </w:r>
          </w:p>
        </w:tc>
      </w:tr>
      <w:tr>
        <w:trPr>
          <w:trHeight w:val="566"/>
        </w:trPr>
        <w:tc>
          <w:tcPr>
            <w:tcW w:w="1550" w:type="pct"/>
            <w:shd w:val="clear" w:color="auto" w:fill="auto"/>
            <w:noWrap/>
            <w:vAlign w:val="center"/>
          </w:tcPr>
          <w:p>
            <w:pPr>
              <w:widowControl/>
              <w:jc w:val="center"/>
              <w:rPr>
                <w:rFonts w:eastAsia="新宋体"/>
                <w:color w:val="000000"/>
              </w:rPr>
            </w:pPr>
            <w:r>
              <w:rPr>
                <w:rFonts w:eastAsia="新宋体"/>
                <w:color w:val="000000"/>
              </w:rPr>
              <w:t>5个月（9月~次年1月）</w:t>
            </w:r>
          </w:p>
        </w:tc>
        <w:tc>
          <w:tcPr>
            <w:tcW w:w="1150" w:type="pct"/>
            <w:shd w:val="clear" w:color="auto" w:fill="auto"/>
            <w:noWrap/>
            <w:vAlign w:val="center"/>
          </w:tcPr>
          <w:p>
            <w:pPr>
              <w:widowControl/>
              <w:jc w:val="center"/>
              <w:rPr>
                <w:rFonts w:eastAsia="新宋体"/>
                <w:color w:val="000000"/>
              </w:rPr>
            </w:pPr>
            <w:r>
              <w:rPr>
                <w:rFonts w:eastAsia="新宋体"/>
                <w:color w:val="000000"/>
              </w:rPr>
              <w:t>p=10%</w:t>
            </w:r>
          </w:p>
        </w:tc>
        <w:tc>
          <w:tcPr>
            <w:tcW w:w="1151" w:type="pct"/>
            <w:shd w:val="clear" w:color="auto" w:fill="auto"/>
            <w:noWrap/>
          </w:tcPr>
          <w:p>
            <w:pPr>
              <w:widowControl/>
              <w:jc w:val="center"/>
              <w:rPr>
                <w:rFonts w:eastAsia="新宋体"/>
                <w:color w:val="000000"/>
              </w:rPr>
            </w:pPr>
            <w:r>
              <w:rPr>
                <w:rFonts w:eastAsia="新宋体"/>
                <w:color w:val="000000"/>
              </w:rPr>
              <w:t>265</w:t>
            </w:r>
          </w:p>
        </w:tc>
        <w:tc>
          <w:tcPr>
            <w:tcW w:w="1149" w:type="pct"/>
            <w:shd w:val="clear" w:color="auto" w:fill="auto"/>
            <w:noWrap/>
          </w:tcPr>
          <w:p>
            <w:pPr>
              <w:widowControl/>
              <w:jc w:val="center"/>
              <w:rPr>
                <w:rFonts w:eastAsia="新宋体"/>
                <w:color w:val="000000"/>
              </w:rPr>
            </w:pPr>
            <w:r>
              <w:rPr>
                <w:rFonts w:eastAsia="新宋体"/>
                <w:color w:val="000000"/>
              </w:rPr>
              <w:t>246</w:t>
            </w:r>
          </w:p>
        </w:tc>
      </w:tr>
      <w:tr>
        <w:trPr>
          <w:trHeight w:val="566"/>
        </w:trPr>
        <w:tc>
          <w:tcPr>
            <w:tcW w:w="1550" w:type="pct"/>
            <w:shd w:val="clear" w:color="auto" w:fill="auto"/>
            <w:noWrap/>
            <w:vAlign w:val="center"/>
          </w:tcPr>
          <w:p>
            <w:pPr>
              <w:widowControl/>
              <w:jc w:val="center"/>
              <w:rPr>
                <w:rFonts w:eastAsia="新宋体"/>
                <w:color w:val="000000"/>
              </w:rPr>
            </w:pPr>
            <w:r>
              <w:rPr>
                <w:rFonts w:eastAsia="新宋体"/>
                <w:color w:val="000000"/>
              </w:rPr>
              <w:t>6个月（9月~次年2月）</w:t>
            </w:r>
          </w:p>
        </w:tc>
        <w:tc>
          <w:tcPr>
            <w:tcW w:w="1150" w:type="pct"/>
            <w:shd w:val="clear" w:color="auto" w:fill="auto"/>
            <w:noWrap/>
            <w:vAlign w:val="center"/>
          </w:tcPr>
          <w:p>
            <w:pPr>
              <w:widowControl/>
              <w:jc w:val="center"/>
              <w:rPr>
                <w:rFonts w:eastAsia="新宋体"/>
                <w:color w:val="000000"/>
              </w:rPr>
            </w:pPr>
            <w:r>
              <w:rPr>
                <w:rFonts w:eastAsia="新宋体"/>
                <w:color w:val="000000"/>
              </w:rPr>
              <w:t>p=10%</w:t>
            </w:r>
          </w:p>
        </w:tc>
        <w:tc>
          <w:tcPr>
            <w:tcW w:w="1151" w:type="pct"/>
            <w:shd w:val="clear" w:color="auto" w:fill="auto"/>
            <w:noWrap/>
          </w:tcPr>
          <w:p>
            <w:pPr>
              <w:widowControl/>
              <w:jc w:val="center"/>
              <w:rPr>
                <w:rFonts w:eastAsia="新宋体"/>
                <w:color w:val="000000"/>
              </w:rPr>
            </w:pPr>
            <w:r>
              <w:rPr>
                <w:rFonts w:eastAsia="新宋体"/>
                <w:color w:val="000000"/>
              </w:rPr>
              <w:t>291</w:t>
            </w:r>
          </w:p>
        </w:tc>
        <w:tc>
          <w:tcPr>
            <w:tcW w:w="1149" w:type="pct"/>
            <w:shd w:val="clear" w:color="auto" w:fill="auto"/>
            <w:noWrap/>
          </w:tcPr>
          <w:p>
            <w:pPr>
              <w:widowControl/>
              <w:jc w:val="center"/>
              <w:rPr>
                <w:rFonts w:eastAsia="新宋体"/>
                <w:color w:val="000000"/>
              </w:rPr>
            </w:pPr>
            <w:r>
              <w:rPr>
                <w:rFonts w:eastAsia="新宋体"/>
                <w:color w:val="000000"/>
              </w:rPr>
              <w:t>271</w:t>
            </w:r>
          </w:p>
        </w:tc>
      </w:tr>
    </w:tbl>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书宋">
    <w:altName w:val="黑体"/>
    <w:panose1 w:val="00000000000000000000"/>
    <w:charset w:val="86"/>
    <w:family w:val="script"/>
    <w:pitch w:val="variable"/>
    <w:sig w:usb0="00000000" w:usb1="080E0000" w:usb2="00000010" w:usb3="00000000" w:csb0="00040000" w:csb1="00000000"/>
  </w:font>
  <w:font w:name="新宋体">
    <w:panose1 w:val="02010609030101010101"/>
    <w:charset w:val="86"/>
    <w:family w:val="modern"/>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365" w:lineRule="atLeast"/>
      <w:ind w:left="1"/>
      <w:jc w:val="both"/>
      <w:textAlignment w:val="bottom"/>
    </w:pPr>
    <w:rPr>
      <w:rFonts w:ascii="Times New Roman" w:eastAsia="宋体" w:cs="Times New Roman" w:hAnsi="Times New Roman"/>
      <w:kern w:val="0"/>
      <w:sz w:val="20"/>
      <w:szCs w:val="20"/>
      <w:lang w:val="en-US" w:eastAsia="zh-CN" w:bidi="ar-SA"/>
    </w:rPr>
  </w:style>
  <w:style w:type="character" w:default="1" w:styleId="10">
    <w:name w:val="Default Paragraph Font"/>
  </w:style>
  <w:style w:type="paragraph" w:customStyle="1" w:styleId="15">
    <w:name w:val="（A）正文格式"/>
    <w:basedOn w:val="0"/>
    <w:pPr>
      <w:autoSpaceDE w:val="0"/>
      <w:autoSpaceDN w:val="0"/>
      <w:adjustRightInd w:val="0"/>
      <w:spacing w:line="360" w:lineRule="auto"/>
      <w:ind w:left="0" w:firstLineChars="200" w:firstLine="200"/>
      <w:textAlignment w:val="auto"/>
    </w:pPr>
    <w:rPr>
      <w:kern w:val="2"/>
      <w:sz w:val="24"/>
    </w:rPr>
  </w:style>
  <w:style w:type="paragraph" w:styleId="16">
    <w:name w:val="Plain Text"/>
    <w:basedOn w:val="0"/>
    <w:pPr>
      <w:widowControl/>
      <w:spacing w:line="240" w:lineRule="auto"/>
      <w:ind w:left="1080"/>
      <w:jc w:val="left"/>
      <w:textAlignment w:val="auto"/>
    </w:pPr>
    <w:rPr>
      <w:rFonts w:ascii="宋体"/>
    </w:rPr>
  </w:style>
  <w:style w:type="paragraph" w:styleId="17">
    <w:name w:val="Balloon Text"/>
    <w:basedOn w:val="0"/>
    <w:pPr>
      <w:spacing w:line="24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png"/><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Application>
  <Pages>6</Pages>
  <Words>3562</Words>
  <Characters>4143</Characters>
  <Lines>206</Lines>
  <Paragraphs>116</Paragraphs>
  <CharactersWithSpaces>4189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liuzhen</dc:creator>
  <cp:revision>1</cp:revision>
  <dcterms:created xsi:type="dcterms:W3CDTF">2016-09-28T08:34:00Z</dcterms:created>
  <dcterms:modified xsi:type="dcterms:W3CDTF">2016-09-28T08:49:53Z</dcterms:modified>
</cp:coreProperties>
</file>